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527FF" w14:textId="08E71BD9" w:rsidR="00814D2F" w:rsidRPr="00814D2F" w:rsidRDefault="00814D2F">
      <w:pPr>
        <w:rPr>
          <w:rFonts w:ascii="Arial" w:hAnsi="Arial" w:cs="Arial"/>
          <w:b/>
          <w:bCs/>
        </w:rPr>
      </w:pPr>
      <w:r w:rsidRPr="00814D2F">
        <w:rPr>
          <w:b/>
          <w:bCs/>
          <w:color w:val="000000"/>
          <w:sz w:val="24"/>
          <w:szCs w:val="24"/>
        </w:rPr>
        <w:t>SCHOOLS BUDGET  2022/23</w:t>
      </w:r>
      <w:r w:rsidRPr="00814D2F">
        <w:rPr>
          <w:b/>
          <w:bCs/>
          <w:color w:val="000000"/>
          <w:sz w:val="24"/>
          <w:szCs w:val="24"/>
        </w:rPr>
        <w:tab/>
      </w:r>
      <w:r w:rsidRPr="00814D2F">
        <w:rPr>
          <w:b/>
          <w:bCs/>
          <w:color w:val="000000"/>
          <w:sz w:val="24"/>
          <w:szCs w:val="24"/>
        </w:rPr>
        <w:tab/>
      </w:r>
      <w:r w:rsidRPr="00814D2F">
        <w:rPr>
          <w:b/>
          <w:bCs/>
          <w:color w:val="000000"/>
          <w:sz w:val="24"/>
          <w:szCs w:val="24"/>
        </w:rPr>
        <w:tab/>
      </w:r>
      <w:r w:rsidRPr="00814D2F">
        <w:rPr>
          <w:b/>
          <w:bCs/>
          <w:color w:val="000000"/>
          <w:sz w:val="24"/>
          <w:szCs w:val="24"/>
        </w:rPr>
        <w:tab/>
      </w:r>
      <w:r w:rsidRPr="00814D2F">
        <w:rPr>
          <w:b/>
          <w:bCs/>
          <w:color w:val="000000"/>
          <w:sz w:val="24"/>
          <w:szCs w:val="24"/>
        </w:rPr>
        <w:tab/>
      </w:r>
      <w:r w:rsidRPr="00814D2F">
        <w:rPr>
          <w:b/>
          <w:bCs/>
          <w:color w:val="000000"/>
          <w:sz w:val="24"/>
          <w:szCs w:val="24"/>
        </w:rPr>
        <w:tab/>
      </w:r>
      <w:r w:rsidRPr="00814D2F">
        <w:rPr>
          <w:b/>
          <w:bCs/>
          <w:color w:val="000000"/>
          <w:sz w:val="24"/>
          <w:szCs w:val="24"/>
        </w:rPr>
        <w:tab/>
        <w:t>APPENDIX 3</w:t>
      </w:r>
    </w:p>
    <w:p w14:paraId="79916DE8" w14:textId="0A134AD0" w:rsidR="007B7BAC" w:rsidRPr="00E00FE2" w:rsidRDefault="00661C52">
      <w:pPr>
        <w:rPr>
          <w:rFonts w:ascii="Arial" w:hAnsi="Arial" w:cs="Arial"/>
          <w:b/>
        </w:rPr>
      </w:pPr>
      <w:r w:rsidRPr="00E00FE2">
        <w:rPr>
          <w:rFonts w:ascii="Arial" w:hAnsi="Arial" w:cs="Arial"/>
          <w:b/>
        </w:rPr>
        <w:t>School Budgets – Dedicated Schools Grant (DSG) 202</w:t>
      </w:r>
      <w:r w:rsidR="00814D2F">
        <w:rPr>
          <w:rFonts w:ascii="Arial" w:hAnsi="Arial" w:cs="Arial"/>
          <w:b/>
        </w:rPr>
        <w:t>2/</w:t>
      </w:r>
      <w:r w:rsidR="003D11B9">
        <w:rPr>
          <w:rFonts w:ascii="Arial" w:hAnsi="Arial" w:cs="Arial"/>
          <w:b/>
        </w:rPr>
        <w:t>2</w:t>
      </w:r>
      <w:r w:rsidR="00814D2F">
        <w:rPr>
          <w:rFonts w:ascii="Arial" w:hAnsi="Arial" w:cs="Arial"/>
          <w:b/>
        </w:rPr>
        <w:t>3</w:t>
      </w:r>
      <w:r w:rsidR="0030090D">
        <w:rPr>
          <w:rFonts w:ascii="Arial" w:hAnsi="Arial" w:cs="Arial"/>
          <w:b/>
        </w:rPr>
        <w:tab/>
      </w:r>
      <w:r w:rsidR="0030090D">
        <w:rPr>
          <w:rFonts w:ascii="Arial" w:hAnsi="Arial" w:cs="Arial"/>
          <w:b/>
        </w:rPr>
        <w:tab/>
      </w:r>
    </w:p>
    <w:p w14:paraId="5B3255C4" w14:textId="77777777" w:rsidR="00661C52" w:rsidRPr="00E00FE2" w:rsidRDefault="00661C52">
      <w:pPr>
        <w:rPr>
          <w:rFonts w:ascii="Arial" w:hAnsi="Arial" w:cs="Arial"/>
          <w:b/>
        </w:rPr>
      </w:pPr>
      <w:r w:rsidRPr="00E00FE2">
        <w:rPr>
          <w:rFonts w:ascii="Arial" w:hAnsi="Arial" w:cs="Arial"/>
          <w:b/>
        </w:rPr>
        <w:t>Introduction</w:t>
      </w:r>
    </w:p>
    <w:p w14:paraId="35111D0A" w14:textId="77777777" w:rsidR="00792ED6" w:rsidRDefault="00661C52" w:rsidP="00792ED6">
      <w:pPr>
        <w:pStyle w:val="ListParagraph"/>
        <w:numPr>
          <w:ilvl w:val="0"/>
          <w:numId w:val="1"/>
        </w:numPr>
        <w:rPr>
          <w:rFonts w:ascii="Arial" w:hAnsi="Arial" w:cs="Arial"/>
        </w:rPr>
      </w:pPr>
      <w:r>
        <w:rPr>
          <w:rFonts w:ascii="Arial" w:hAnsi="Arial" w:cs="Arial"/>
        </w:rPr>
        <w:t xml:space="preserve">The Dedicated Schools Grant (DSG) is a </w:t>
      </w:r>
      <w:proofErr w:type="gramStart"/>
      <w:r>
        <w:rPr>
          <w:rFonts w:ascii="Arial" w:hAnsi="Arial" w:cs="Arial"/>
        </w:rPr>
        <w:t>ring fenced</w:t>
      </w:r>
      <w:proofErr w:type="gramEnd"/>
      <w:r>
        <w:rPr>
          <w:rFonts w:ascii="Arial" w:hAnsi="Arial" w:cs="Arial"/>
        </w:rPr>
        <w:t xml:space="preserve"> grant </w:t>
      </w:r>
      <w:r w:rsidR="00792ED6">
        <w:rPr>
          <w:rFonts w:ascii="Arial" w:hAnsi="Arial" w:cs="Arial"/>
        </w:rPr>
        <w:t>of which the majority is used to fund individual schools budgets in maintained schools and academies in Harrow. It also funds Early Years nursery entitlement for 2, 3 and 4 year olds in maintained council nursery classes and private, voluntary and independent (PVI) nurseries as well as provision for pupils with High Needs including those with Education Health &amp; Care Plans (EHCPs) in special schools, special provision and mainstream schools in Harrow and out of borough. The DSG is split into four blocks: Schools Block, Central School Services Block, Early Years Block and High Needs Block</w:t>
      </w:r>
      <w:r w:rsidR="00660AF0">
        <w:rPr>
          <w:rFonts w:ascii="Arial" w:hAnsi="Arial" w:cs="Arial"/>
        </w:rPr>
        <w:t>.</w:t>
      </w:r>
    </w:p>
    <w:p w14:paraId="6C93E47E" w14:textId="77777777" w:rsidR="00B62882" w:rsidRDefault="00B62882" w:rsidP="00B62882">
      <w:pPr>
        <w:autoSpaceDE w:val="0"/>
        <w:autoSpaceDN w:val="0"/>
        <w:adjustRightInd w:val="0"/>
        <w:spacing w:after="0" w:line="240" w:lineRule="auto"/>
        <w:rPr>
          <w:rFonts w:ascii="Arial" w:hAnsi="Arial" w:cs="Arial"/>
          <w:lang w:eastAsia="en-GB"/>
        </w:rPr>
      </w:pPr>
    </w:p>
    <w:p w14:paraId="00B1AA24" w14:textId="1AAB31E1" w:rsidR="00660AF0" w:rsidRPr="00E00FE2" w:rsidRDefault="00660AF0" w:rsidP="00660AF0">
      <w:pPr>
        <w:rPr>
          <w:rFonts w:ascii="Arial" w:hAnsi="Arial" w:cs="Arial"/>
          <w:b/>
        </w:rPr>
      </w:pPr>
      <w:r w:rsidRPr="00E00FE2">
        <w:rPr>
          <w:rFonts w:ascii="Arial" w:hAnsi="Arial" w:cs="Arial"/>
          <w:b/>
        </w:rPr>
        <w:t xml:space="preserve">Schools Funding for </w:t>
      </w:r>
      <w:r w:rsidR="003D11B9">
        <w:rPr>
          <w:rFonts w:ascii="Arial" w:hAnsi="Arial" w:cs="Arial"/>
          <w:b/>
        </w:rPr>
        <w:t>2022-23</w:t>
      </w:r>
    </w:p>
    <w:p w14:paraId="3AD8DE00" w14:textId="77777777" w:rsidR="00844259" w:rsidRDefault="00844259" w:rsidP="00B62882">
      <w:pPr>
        <w:pStyle w:val="ListParagraph"/>
        <w:numPr>
          <w:ilvl w:val="0"/>
          <w:numId w:val="1"/>
        </w:numPr>
        <w:rPr>
          <w:rFonts w:ascii="Arial" w:hAnsi="Arial" w:cs="Arial"/>
        </w:rPr>
      </w:pPr>
      <w:r>
        <w:rPr>
          <w:rFonts w:ascii="Arial" w:hAnsi="Arial" w:cs="Arial"/>
        </w:rPr>
        <w:t xml:space="preserve">In 2018-19 the government introduced a new National Funding Formula (NFF) for Schools, High Needs and the Central Schools services Block. For the Schools Block </w:t>
      </w:r>
      <w:r w:rsidR="000E719E">
        <w:rPr>
          <w:rFonts w:ascii="Arial" w:hAnsi="Arial" w:cs="Arial"/>
        </w:rPr>
        <w:t>this mean</w:t>
      </w:r>
      <w:r w:rsidR="00D3021E">
        <w:rPr>
          <w:rFonts w:ascii="Arial" w:hAnsi="Arial" w:cs="Arial"/>
        </w:rPr>
        <w:t>s</w:t>
      </w:r>
      <w:r w:rsidR="000E719E">
        <w:rPr>
          <w:rFonts w:ascii="Arial" w:hAnsi="Arial" w:cs="Arial"/>
        </w:rPr>
        <w:t xml:space="preserve"> </w:t>
      </w:r>
      <w:r>
        <w:rPr>
          <w:rFonts w:ascii="Arial" w:hAnsi="Arial" w:cs="Arial"/>
        </w:rPr>
        <w:t xml:space="preserve">LAs are funded </w:t>
      </w:r>
      <w:proofErr w:type="gramStart"/>
      <w:r>
        <w:rPr>
          <w:rFonts w:ascii="Arial" w:hAnsi="Arial" w:cs="Arial"/>
        </w:rPr>
        <w:t>on the basis of</w:t>
      </w:r>
      <w:proofErr w:type="gramEnd"/>
      <w:r>
        <w:rPr>
          <w:rFonts w:ascii="Arial" w:hAnsi="Arial" w:cs="Arial"/>
        </w:rPr>
        <w:t xml:space="preserve"> the total of the NFF for all school, academies and free schools in its area. </w:t>
      </w:r>
      <w:proofErr w:type="gramStart"/>
      <w:r>
        <w:rPr>
          <w:rFonts w:ascii="Arial" w:hAnsi="Arial" w:cs="Arial"/>
        </w:rPr>
        <w:t>However</w:t>
      </w:r>
      <w:proofErr w:type="gramEnd"/>
      <w:r>
        <w:rPr>
          <w:rFonts w:ascii="Arial" w:hAnsi="Arial" w:cs="Arial"/>
        </w:rPr>
        <w:t xml:space="preserve"> the final formula for distribution is determined by each Council following consultation with schools and Schools Forums.</w:t>
      </w:r>
    </w:p>
    <w:p w14:paraId="2CC98550" w14:textId="77777777" w:rsidR="00E00FE2" w:rsidRDefault="00E00FE2" w:rsidP="00E00FE2">
      <w:pPr>
        <w:pStyle w:val="ListParagraph"/>
        <w:rPr>
          <w:rFonts w:ascii="Arial" w:hAnsi="Arial" w:cs="Arial"/>
        </w:rPr>
      </w:pPr>
    </w:p>
    <w:p w14:paraId="4A0C0ECD" w14:textId="7631D18C" w:rsidR="00844259" w:rsidRDefault="00844259" w:rsidP="00B62882">
      <w:pPr>
        <w:pStyle w:val="ListParagraph"/>
        <w:numPr>
          <w:ilvl w:val="0"/>
          <w:numId w:val="1"/>
        </w:numPr>
        <w:rPr>
          <w:rFonts w:ascii="Arial" w:hAnsi="Arial" w:cs="Arial"/>
        </w:rPr>
      </w:pPr>
      <w:r>
        <w:rPr>
          <w:rFonts w:ascii="Arial" w:hAnsi="Arial" w:cs="Arial"/>
        </w:rPr>
        <w:t>Th</w:t>
      </w:r>
      <w:r w:rsidR="00E00FE2">
        <w:rPr>
          <w:rFonts w:ascii="Arial" w:hAnsi="Arial" w:cs="Arial"/>
        </w:rPr>
        <w:t xml:space="preserve">e LA carried out a consultation in Autumn 2017 which sought views on whether the LA should continue to use the Harrow Schools Funding Formula or introduce the National Funding Formula from 2018-19. 76% of schools responded to the consultation and 89% voted in favour of introducing the NFF from 2018-19. This was approved by Cabinet in February 2018 and school budgets </w:t>
      </w:r>
      <w:r w:rsidR="00785030">
        <w:rPr>
          <w:rFonts w:ascii="Arial" w:hAnsi="Arial" w:cs="Arial"/>
        </w:rPr>
        <w:t>for the last t</w:t>
      </w:r>
      <w:r w:rsidR="003D11B9">
        <w:rPr>
          <w:rFonts w:ascii="Arial" w:hAnsi="Arial" w:cs="Arial"/>
        </w:rPr>
        <w:t>hree</w:t>
      </w:r>
      <w:r w:rsidR="00785030">
        <w:rPr>
          <w:rFonts w:ascii="Arial" w:hAnsi="Arial" w:cs="Arial"/>
        </w:rPr>
        <w:t xml:space="preserve"> years have been set</w:t>
      </w:r>
      <w:r w:rsidR="00E00FE2">
        <w:rPr>
          <w:rFonts w:ascii="Arial" w:hAnsi="Arial" w:cs="Arial"/>
        </w:rPr>
        <w:t xml:space="preserve"> based on the NFF.</w:t>
      </w:r>
      <w:r>
        <w:rPr>
          <w:rFonts w:ascii="Arial" w:hAnsi="Arial" w:cs="Arial"/>
        </w:rPr>
        <w:t xml:space="preserve"> </w:t>
      </w:r>
    </w:p>
    <w:p w14:paraId="4BA0A5EA" w14:textId="77777777" w:rsidR="00E00FE2" w:rsidRPr="00E00FE2" w:rsidRDefault="00E00FE2" w:rsidP="00E00FE2">
      <w:pPr>
        <w:pStyle w:val="ListParagraph"/>
        <w:rPr>
          <w:rFonts w:ascii="Arial" w:hAnsi="Arial" w:cs="Arial"/>
        </w:rPr>
      </w:pPr>
    </w:p>
    <w:p w14:paraId="6D09DADF" w14:textId="2CCE2EB4" w:rsidR="00E00FE2" w:rsidRDefault="00E00FE2" w:rsidP="00B62882">
      <w:pPr>
        <w:pStyle w:val="ListParagraph"/>
        <w:numPr>
          <w:ilvl w:val="0"/>
          <w:numId w:val="1"/>
        </w:numPr>
        <w:rPr>
          <w:rFonts w:ascii="Arial" w:hAnsi="Arial" w:cs="Arial"/>
        </w:rPr>
      </w:pPr>
      <w:r>
        <w:rPr>
          <w:rFonts w:ascii="Arial" w:hAnsi="Arial" w:cs="Arial"/>
        </w:rPr>
        <w:t xml:space="preserve">The NFF </w:t>
      </w:r>
      <w:proofErr w:type="gramStart"/>
      <w:r>
        <w:rPr>
          <w:rFonts w:ascii="Arial" w:hAnsi="Arial" w:cs="Arial"/>
        </w:rPr>
        <w:t>will therefore will</w:t>
      </w:r>
      <w:proofErr w:type="gramEnd"/>
      <w:r>
        <w:rPr>
          <w:rFonts w:ascii="Arial" w:hAnsi="Arial" w:cs="Arial"/>
        </w:rPr>
        <w:t xml:space="preserve"> continue to be used to distributed school budgets for </w:t>
      </w:r>
      <w:r w:rsidR="009502E1">
        <w:rPr>
          <w:rFonts w:ascii="Arial" w:hAnsi="Arial" w:cs="Arial"/>
        </w:rPr>
        <w:t>202</w:t>
      </w:r>
      <w:r w:rsidR="003D11B9">
        <w:rPr>
          <w:rFonts w:ascii="Arial" w:hAnsi="Arial" w:cs="Arial"/>
        </w:rPr>
        <w:t>2-23</w:t>
      </w:r>
      <w:r>
        <w:rPr>
          <w:rFonts w:ascii="Arial" w:hAnsi="Arial" w:cs="Arial"/>
        </w:rPr>
        <w:t>.</w:t>
      </w:r>
    </w:p>
    <w:p w14:paraId="2E1E8730" w14:textId="77777777" w:rsidR="00E00FE2" w:rsidRPr="00E00FE2" w:rsidRDefault="00E00FE2" w:rsidP="00E00FE2">
      <w:pPr>
        <w:pStyle w:val="ListParagraph"/>
        <w:rPr>
          <w:rFonts w:ascii="Arial" w:hAnsi="Arial" w:cs="Arial"/>
        </w:rPr>
      </w:pPr>
    </w:p>
    <w:p w14:paraId="6434FEBF" w14:textId="65513CDE" w:rsidR="00E00FE2" w:rsidRDefault="00E00FE2" w:rsidP="00B62882">
      <w:pPr>
        <w:pStyle w:val="ListParagraph"/>
        <w:numPr>
          <w:ilvl w:val="0"/>
          <w:numId w:val="1"/>
        </w:numPr>
        <w:rPr>
          <w:rFonts w:ascii="Arial" w:hAnsi="Arial" w:cs="Arial"/>
        </w:rPr>
      </w:pPr>
      <w:r>
        <w:rPr>
          <w:rFonts w:ascii="Arial" w:hAnsi="Arial" w:cs="Arial"/>
        </w:rPr>
        <w:t xml:space="preserve">From 2020 the government intended to implement the NFF in full which means that school allocations will be determined by the DfE rather than LAs. </w:t>
      </w:r>
      <w:proofErr w:type="gramStart"/>
      <w:r>
        <w:rPr>
          <w:rFonts w:ascii="Arial" w:hAnsi="Arial" w:cs="Arial"/>
        </w:rPr>
        <w:t>However</w:t>
      </w:r>
      <w:proofErr w:type="gramEnd"/>
      <w:r>
        <w:rPr>
          <w:rFonts w:ascii="Arial" w:hAnsi="Arial" w:cs="Arial"/>
        </w:rPr>
        <w:t xml:space="preserve"> this has been </w:t>
      </w:r>
      <w:r w:rsidR="00785030">
        <w:rPr>
          <w:rFonts w:ascii="Arial" w:hAnsi="Arial" w:cs="Arial"/>
        </w:rPr>
        <w:t>delayed</w:t>
      </w:r>
      <w:r>
        <w:rPr>
          <w:rFonts w:ascii="Arial" w:hAnsi="Arial" w:cs="Arial"/>
        </w:rPr>
        <w:t xml:space="preserve"> and </w:t>
      </w:r>
      <w:r w:rsidR="003D11B9">
        <w:rPr>
          <w:rFonts w:ascii="Arial" w:hAnsi="Arial" w:cs="Arial"/>
        </w:rPr>
        <w:t>there is no fixed date for this</w:t>
      </w:r>
      <w:r>
        <w:rPr>
          <w:rFonts w:ascii="Arial" w:hAnsi="Arial" w:cs="Arial"/>
        </w:rPr>
        <w:t>.</w:t>
      </w:r>
    </w:p>
    <w:p w14:paraId="601DDC12" w14:textId="77777777" w:rsidR="00785030" w:rsidRPr="00785030" w:rsidRDefault="00785030" w:rsidP="00785030">
      <w:pPr>
        <w:pStyle w:val="ListParagraph"/>
        <w:rPr>
          <w:rFonts w:ascii="Arial" w:hAnsi="Arial" w:cs="Arial"/>
        </w:rPr>
      </w:pPr>
    </w:p>
    <w:p w14:paraId="749093F3" w14:textId="4FE2E2DD" w:rsidR="00785030" w:rsidRDefault="00785030" w:rsidP="00B62882">
      <w:pPr>
        <w:pStyle w:val="ListParagraph"/>
        <w:numPr>
          <w:ilvl w:val="0"/>
          <w:numId w:val="1"/>
        </w:numPr>
        <w:rPr>
          <w:rFonts w:ascii="Arial" w:hAnsi="Arial" w:cs="Arial"/>
        </w:rPr>
      </w:pPr>
      <w:r>
        <w:rPr>
          <w:rFonts w:ascii="Arial" w:hAnsi="Arial" w:cs="Arial"/>
        </w:rPr>
        <w:t xml:space="preserve">There are no proposed changes to the </w:t>
      </w:r>
      <w:r w:rsidRPr="000E719E">
        <w:rPr>
          <w:rFonts w:ascii="Arial" w:hAnsi="Arial" w:cs="Arial"/>
          <w:b/>
        </w:rPr>
        <w:t>structure</w:t>
      </w:r>
      <w:r>
        <w:rPr>
          <w:rFonts w:ascii="Arial" w:hAnsi="Arial" w:cs="Arial"/>
        </w:rPr>
        <w:t xml:space="preserve"> of the formula for </w:t>
      </w:r>
      <w:r w:rsidR="003D11B9">
        <w:rPr>
          <w:rFonts w:ascii="Arial" w:hAnsi="Arial" w:cs="Arial"/>
        </w:rPr>
        <w:t>2022-23</w:t>
      </w:r>
      <w:r>
        <w:rPr>
          <w:rFonts w:ascii="Arial" w:hAnsi="Arial" w:cs="Arial"/>
        </w:rPr>
        <w:t xml:space="preserve"> however there are </w:t>
      </w:r>
      <w:proofErr w:type="gramStart"/>
      <w:r>
        <w:rPr>
          <w:rFonts w:ascii="Arial" w:hAnsi="Arial" w:cs="Arial"/>
        </w:rPr>
        <w:t xml:space="preserve">a </w:t>
      </w:r>
      <w:r w:rsidR="000E719E">
        <w:rPr>
          <w:rFonts w:ascii="Arial" w:hAnsi="Arial" w:cs="Arial"/>
        </w:rPr>
        <w:t>number of</w:t>
      </w:r>
      <w:proofErr w:type="gramEnd"/>
      <w:r w:rsidR="000E719E">
        <w:rPr>
          <w:rFonts w:ascii="Arial" w:hAnsi="Arial" w:cs="Arial"/>
        </w:rPr>
        <w:t xml:space="preserve"> changes </w:t>
      </w:r>
      <w:r w:rsidR="009502E1">
        <w:rPr>
          <w:rFonts w:ascii="Arial" w:hAnsi="Arial" w:cs="Arial"/>
        </w:rPr>
        <w:t>for schools to be aware of.</w:t>
      </w:r>
    </w:p>
    <w:p w14:paraId="6988C351" w14:textId="77777777" w:rsidR="009502E1" w:rsidRPr="009502E1" w:rsidRDefault="009502E1" w:rsidP="009502E1">
      <w:pPr>
        <w:pStyle w:val="ListParagraph"/>
        <w:rPr>
          <w:rFonts w:ascii="Arial" w:hAnsi="Arial" w:cs="Arial"/>
        </w:rPr>
      </w:pPr>
    </w:p>
    <w:p w14:paraId="3EB9E5F3" w14:textId="12809C9D" w:rsidR="009502E1" w:rsidRPr="009502E1" w:rsidRDefault="009502E1" w:rsidP="009502E1">
      <w:pPr>
        <w:rPr>
          <w:rFonts w:ascii="Arial" w:hAnsi="Arial" w:cs="Arial"/>
          <w:b/>
          <w:bCs/>
        </w:rPr>
      </w:pPr>
      <w:r w:rsidRPr="009502E1">
        <w:rPr>
          <w:rFonts w:ascii="Arial" w:hAnsi="Arial" w:cs="Arial"/>
          <w:b/>
          <w:bCs/>
        </w:rPr>
        <w:t xml:space="preserve">Changes in </w:t>
      </w:r>
      <w:r w:rsidR="003D11B9">
        <w:rPr>
          <w:rFonts w:ascii="Arial" w:hAnsi="Arial" w:cs="Arial"/>
          <w:b/>
          <w:bCs/>
        </w:rPr>
        <w:t>2022-23</w:t>
      </w:r>
    </w:p>
    <w:p w14:paraId="7CB767DA" w14:textId="77777777" w:rsidR="009502E1" w:rsidRPr="009502E1" w:rsidRDefault="009502E1" w:rsidP="009502E1">
      <w:pPr>
        <w:rPr>
          <w:rFonts w:ascii="Arial" w:hAnsi="Arial" w:cs="Arial"/>
          <w:b/>
          <w:bCs/>
        </w:rPr>
      </w:pPr>
      <w:r>
        <w:rPr>
          <w:rFonts w:ascii="Arial" w:hAnsi="Arial" w:cs="Arial"/>
        </w:rPr>
        <w:tab/>
      </w:r>
      <w:r w:rsidRPr="009502E1">
        <w:rPr>
          <w:rFonts w:ascii="Arial" w:hAnsi="Arial" w:cs="Arial"/>
          <w:b/>
          <w:bCs/>
        </w:rPr>
        <w:t>Increase in factor values</w:t>
      </w:r>
    </w:p>
    <w:p w14:paraId="00C67702" w14:textId="77777777" w:rsidR="00907911" w:rsidRDefault="00907911" w:rsidP="000E719E">
      <w:pPr>
        <w:autoSpaceDE w:val="0"/>
        <w:autoSpaceDN w:val="0"/>
        <w:adjustRightInd w:val="0"/>
        <w:spacing w:after="0" w:line="240" w:lineRule="auto"/>
        <w:ind w:firstLine="360"/>
        <w:rPr>
          <w:rFonts w:ascii="Arial" w:hAnsi="Arial" w:cs="Arial"/>
          <w:b/>
          <w:lang w:eastAsia="en-GB"/>
        </w:rPr>
      </w:pPr>
    </w:p>
    <w:p w14:paraId="46BB743A" w14:textId="77777777" w:rsidR="00907911" w:rsidRDefault="00907911" w:rsidP="000E719E">
      <w:pPr>
        <w:autoSpaceDE w:val="0"/>
        <w:autoSpaceDN w:val="0"/>
        <w:adjustRightInd w:val="0"/>
        <w:spacing w:after="0" w:line="240" w:lineRule="auto"/>
        <w:ind w:firstLine="360"/>
        <w:rPr>
          <w:rFonts w:ascii="Arial" w:hAnsi="Arial" w:cs="Arial"/>
          <w:b/>
          <w:lang w:eastAsia="en-GB"/>
        </w:rPr>
      </w:pPr>
    </w:p>
    <w:p w14:paraId="2119D23F" w14:textId="77777777" w:rsidR="00907911" w:rsidRDefault="00907911" w:rsidP="000E719E">
      <w:pPr>
        <w:autoSpaceDE w:val="0"/>
        <w:autoSpaceDN w:val="0"/>
        <w:adjustRightInd w:val="0"/>
        <w:spacing w:after="0" w:line="240" w:lineRule="auto"/>
        <w:ind w:firstLine="360"/>
        <w:rPr>
          <w:rFonts w:ascii="Arial" w:hAnsi="Arial" w:cs="Arial"/>
          <w:b/>
          <w:lang w:eastAsia="en-GB"/>
        </w:rPr>
      </w:pPr>
    </w:p>
    <w:p w14:paraId="78CD606F" w14:textId="77777777" w:rsidR="00907911" w:rsidRDefault="00907911" w:rsidP="000E719E">
      <w:pPr>
        <w:autoSpaceDE w:val="0"/>
        <w:autoSpaceDN w:val="0"/>
        <w:adjustRightInd w:val="0"/>
        <w:spacing w:after="0" w:line="240" w:lineRule="auto"/>
        <w:ind w:firstLine="360"/>
        <w:rPr>
          <w:rFonts w:ascii="Arial" w:hAnsi="Arial" w:cs="Arial"/>
          <w:b/>
          <w:lang w:eastAsia="en-GB"/>
        </w:rPr>
      </w:pPr>
    </w:p>
    <w:p w14:paraId="734DCF95" w14:textId="77777777" w:rsidR="00907911" w:rsidRDefault="00907911" w:rsidP="000E719E">
      <w:pPr>
        <w:autoSpaceDE w:val="0"/>
        <w:autoSpaceDN w:val="0"/>
        <w:adjustRightInd w:val="0"/>
        <w:spacing w:after="0" w:line="240" w:lineRule="auto"/>
        <w:ind w:firstLine="360"/>
        <w:rPr>
          <w:rFonts w:ascii="Arial" w:hAnsi="Arial" w:cs="Arial"/>
          <w:b/>
          <w:lang w:eastAsia="en-GB"/>
        </w:rPr>
      </w:pPr>
    </w:p>
    <w:p w14:paraId="1D4F3C4A" w14:textId="77777777" w:rsidR="00907911" w:rsidRDefault="00907911" w:rsidP="000E719E">
      <w:pPr>
        <w:autoSpaceDE w:val="0"/>
        <w:autoSpaceDN w:val="0"/>
        <w:adjustRightInd w:val="0"/>
        <w:spacing w:after="0" w:line="240" w:lineRule="auto"/>
        <w:ind w:firstLine="360"/>
        <w:rPr>
          <w:rFonts w:ascii="Arial" w:hAnsi="Arial" w:cs="Arial"/>
          <w:b/>
          <w:lang w:eastAsia="en-GB"/>
        </w:rPr>
      </w:pPr>
    </w:p>
    <w:p w14:paraId="23180877" w14:textId="0B217341" w:rsidR="000E719E" w:rsidRPr="000E719E" w:rsidRDefault="000E719E" w:rsidP="000E719E">
      <w:pPr>
        <w:autoSpaceDE w:val="0"/>
        <w:autoSpaceDN w:val="0"/>
        <w:adjustRightInd w:val="0"/>
        <w:spacing w:after="0" w:line="240" w:lineRule="auto"/>
        <w:ind w:firstLine="360"/>
        <w:rPr>
          <w:rFonts w:ascii="Arial" w:hAnsi="Arial" w:cs="Arial"/>
          <w:b/>
          <w:lang w:eastAsia="en-GB"/>
        </w:rPr>
      </w:pPr>
      <w:r w:rsidRPr="000E719E">
        <w:rPr>
          <w:rFonts w:ascii="Arial" w:hAnsi="Arial" w:cs="Arial"/>
          <w:b/>
          <w:lang w:eastAsia="en-GB"/>
        </w:rPr>
        <w:t>Table 1 – funding formula factor values</w:t>
      </w:r>
    </w:p>
    <w:p w14:paraId="6C0970DB" w14:textId="77777777" w:rsidR="000E719E" w:rsidRPr="000E719E" w:rsidRDefault="000E719E" w:rsidP="000E719E">
      <w:pPr>
        <w:autoSpaceDE w:val="0"/>
        <w:autoSpaceDN w:val="0"/>
        <w:adjustRightInd w:val="0"/>
        <w:spacing w:after="0" w:line="240" w:lineRule="auto"/>
        <w:rPr>
          <w:rFonts w:ascii="Arial" w:hAnsi="Arial" w:cs="Arial"/>
          <w:lang w:eastAsia="en-GB"/>
        </w:rPr>
      </w:pPr>
    </w:p>
    <w:tbl>
      <w:tblPr>
        <w:tblStyle w:val="TableGrid"/>
        <w:tblW w:w="9242" w:type="dxa"/>
        <w:tblLayout w:type="fixed"/>
        <w:tblLook w:val="04A0" w:firstRow="1" w:lastRow="0" w:firstColumn="1" w:lastColumn="0" w:noHBand="0" w:noVBand="1"/>
      </w:tblPr>
      <w:tblGrid>
        <w:gridCol w:w="1526"/>
        <w:gridCol w:w="1417"/>
        <w:gridCol w:w="1560"/>
        <w:gridCol w:w="1559"/>
        <w:gridCol w:w="1559"/>
        <w:gridCol w:w="851"/>
        <w:gridCol w:w="770"/>
      </w:tblGrid>
      <w:tr w:rsidR="00907911" w:rsidRPr="00907911" w14:paraId="27C777D6" w14:textId="77777777" w:rsidTr="007D2E6B">
        <w:trPr>
          <w:trHeight w:hRule="exact" w:val="284"/>
        </w:trPr>
        <w:tc>
          <w:tcPr>
            <w:tcW w:w="1526" w:type="dxa"/>
            <w:vMerge w:val="restart"/>
            <w:vAlign w:val="bottom"/>
          </w:tcPr>
          <w:p w14:paraId="5F23735F" w14:textId="77777777" w:rsidR="00907911" w:rsidRPr="00907911" w:rsidRDefault="00907911" w:rsidP="007D2E6B">
            <w:pPr>
              <w:rPr>
                <w:rFonts w:ascii="Arial" w:hAnsi="Arial" w:cs="Arial"/>
                <w:b/>
                <w:bCs/>
                <w:color w:val="000000"/>
              </w:rPr>
            </w:pPr>
            <w:r w:rsidRPr="00907911">
              <w:rPr>
                <w:rFonts w:ascii="Arial" w:hAnsi="Arial" w:cs="Arial"/>
                <w:b/>
                <w:bCs/>
                <w:color w:val="000000"/>
              </w:rPr>
              <w:t>Factors</w:t>
            </w:r>
          </w:p>
        </w:tc>
        <w:tc>
          <w:tcPr>
            <w:tcW w:w="2977" w:type="dxa"/>
            <w:gridSpan w:val="2"/>
            <w:vAlign w:val="bottom"/>
          </w:tcPr>
          <w:p w14:paraId="6E0DF88C" w14:textId="77777777" w:rsidR="00907911" w:rsidRPr="00907911" w:rsidRDefault="00907911" w:rsidP="007D2E6B">
            <w:pPr>
              <w:jc w:val="center"/>
              <w:rPr>
                <w:rFonts w:ascii="Arial" w:hAnsi="Arial" w:cs="Arial"/>
                <w:b/>
                <w:bCs/>
                <w:color w:val="000000"/>
              </w:rPr>
            </w:pPr>
            <w:r w:rsidRPr="00907911">
              <w:rPr>
                <w:rFonts w:ascii="Arial" w:hAnsi="Arial" w:cs="Arial"/>
                <w:b/>
                <w:bCs/>
                <w:color w:val="000000"/>
              </w:rPr>
              <w:t>2021-22</w:t>
            </w:r>
          </w:p>
        </w:tc>
        <w:tc>
          <w:tcPr>
            <w:tcW w:w="3118" w:type="dxa"/>
            <w:gridSpan w:val="2"/>
            <w:vAlign w:val="bottom"/>
          </w:tcPr>
          <w:p w14:paraId="2905086C" w14:textId="77777777" w:rsidR="00907911" w:rsidRPr="00907911" w:rsidRDefault="00907911" w:rsidP="007D2E6B">
            <w:pPr>
              <w:jc w:val="center"/>
              <w:rPr>
                <w:rFonts w:ascii="Arial" w:hAnsi="Arial" w:cs="Arial"/>
                <w:b/>
                <w:bCs/>
                <w:color w:val="000000"/>
              </w:rPr>
            </w:pPr>
            <w:r w:rsidRPr="00907911">
              <w:rPr>
                <w:rFonts w:ascii="Arial" w:hAnsi="Arial" w:cs="Arial"/>
                <w:b/>
                <w:bCs/>
                <w:color w:val="000000"/>
              </w:rPr>
              <w:t>2022-23</w:t>
            </w:r>
          </w:p>
        </w:tc>
        <w:tc>
          <w:tcPr>
            <w:tcW w:w="1621" w:type="dxa"/>
            <w:gridSpan w:val="2"/>
            <w:vAlign w:val="bottom"/>
          </w:tcPr>
          <w:p w14:paraId="4120F0EC" w14:textId="77777777" w:rsidR="00907911" w:rsidRPr="00907911" w:rsidRDefault="00907911" w:rsidP="007D2E6B">
            <w:pPr>
              <w:jc w:val="center"/>
              <w:rPr>
                <w:rFonts w:ascii="Arial" w:hAnsi="Arial" w:cs="Arial"/>
                <w:b/>
                <w:bCs/>
                <w:color w:val="000000"/>
              </w:rPr>
            </w:pPr>
            <w:r w:rsidRPr="00907911">
              <w:rPr>
                <w:rFonts w:ascii="Arial" w:hAnsi="Arial" w:cs="Arial"/>
                <w:b/>
                <w:bCs/>
                <w:color w:val="000000"/>
              </w:rPr>
              <w:t>% Change</w:t>
            </w:r>
          </w:p>
        </w:tc>
      </w:tr>
      <w:tr w:rsidR="00907911" w:rsidRPr="00907911" w14:paraId="15F723E5" w14:textId="77777777" w:rsidTr="007D2E6B">
        <w:trPr>
          <w:trHeight w:hRule="exact" w:val="284"/>
        </w:trPr>
        <w:tc>
          <w:tcPr>
            <w:tcW w:w="1526" w:type="dxa"/>
            <w:vMerge/>
            <w:vAlign w:val="bottom"/>
          </w:tcPr>
          <w:p w14:paraId="2A4D0803" w14:textId="77777777" w:rsidR="00907911" w:rsidRPr="00907911" w:rsidRDefault="00907911" w:rsidP="007D2E6B">
            <w:pPr>
              <w:rPr>
                <w:rFonts w:ascii="Arial" w:hAnsi="Arial" w:cs="Arial"/>
                <w:color w:val="000000"/>
              </w:rPr>
            </w:pPr>
          </w:p>
        </w:tc>
        <w:tc>
          <w:tcPr>
            <w:tcW w:w="1417" w:type="dxa"/>
            <w:vAlign w:val="bottom"/>
          </w:tcPr>
          <w:p w14:paraId="68392890" w14:textId="77777777" w:rsidR="00907911" w:rsidRPr="00907911" w:rsidRDefault="00907911" w:rsidP="007D2E6B">
            <w:pPr>
              <w:jc w:val="center"/>
              <w:rPr>
                <w:rFonts w:ascii="Arial" w:hAnsi="Arial" w:cs="Arial"/>
                <w:color w:val="000000"/>
              </w:rPr>
            </w:pPr>
            <w:proofErr w:type="spellStart"/>
            <w:r w:rsidRPr="00907911">
              <w:rPr>
                <w:rFonts w:ascii="Arial" w:hAnsi="Arial" w:cs="Arial"/>
                <w:color w:val="000000"/>
              </w:rPr>
              <w:t>Pri</w:t>
            </w:r>
            <w:proofErr w:type="spellEnd"/>
          </w:p>
        </w:tc>
        <w:tc>
          <w:tcPr>
            <w:tcW w:w="1560" w:type="dxa"/>
            <w:vAlign w:val="bottom"/>
          </w:tcPr>
          <w:p w14:paraId="73D61578" w14:textId="77777777" w:rsidR="00907911" w:rsidRPr="00907911" w:rsidRDefault="00907911" w:rsidP="007D2E6B">
            <w:pPr>
              <w:jc w:val="center"/>
              <w:rPr>
                <w:rFonts w:ascii="Arial" w:hAnsi="Arial" w:cs="Arial"/>
                <w:color w:val="000000"/>
              </w:rPr>
            </w:pPr>
            <w:r w:rsidRPr="00907911">
              <w:rPr>
                <w:rFonts w:ascii="Arial" w:hAnsi="Arial" w:cs="Arial"/>
                <w:color w:val="000000"/>
              </w:rPr>
              <w:t>Sec</w:t>
            </w:r>
          </w:p>
        </w:tc>
        <w:tc>
          <w:tcPr>
            <w:tcW w:w="1559" w:type="dxa"/>
            <w:vAlign w:val="bottom"/>
          </w:tcPr>
          <w:p w14:paraId="770291C7" w14:textId="77777777" w:rsidR="00907911" w:rsidRPr="00907911" w:rsidRDefault="00907911" w:rsidP="007D2E6B">
            <w:pPr>
              <w:jc w:val="center"/>
              <w:rPr>
                <w:rFonts w:ascii="Arial" w:hAnsi="Arial" w:cs="Arial"/>
                <w:color w:val="000000"/>
              </w:rPr>
            </w:pPr>
            <w:proofErr w:type="spellStart"/>
            <w:r w:rsidRPr="00907911">
              <w:rPr>
                <w:rFonts w:ascii="Arial" w:hAnsi="Arial" w:cs="Arial"/>
                <w:color w:val="000000"/>
              </w:rPr>
              <w:t>Pri</w:t>
            </w:r>
            <w:proofErr w:type="spellEnd"/>
          </w:p>
        </w:tc>
        <w:tc>
          <w:tcPr>
            <w:tcW w:w="1559" w:type="dxa"/>
            <w:vAlign w:val="bottom"/>
          </w:tcPr>
          <w:p w14:paraId="389F82CB" w14:textId="77777777" w:rsidR="00907911" w:rsidRPr="00907911" w:rsidRDefault="00907911" w:rsidP="007D2E6B">
            <w:pPr>
              <w:jc w:val="center"/>
              <w:rPr>
                <w:rFonts w:ascii="Arial" w:hAnsi="Arial" w:cs="Arial"/>
                <w:color w:val="000000"/>
              </w:rPr>
            </w:pPr>
            <w:r w:rsidRPr="00907911">
              <w:rPr>
                <w:rFonts w:ascii="Arial" w:hAnsi="Arial" w:cs="Arial"/>
                <w:color w:val="000000"/>
              </w:rPr>
              <w:t>Sec</w:t>
            </w:r>
          </w:p>
        </w:tc>
        <w:tc>
          <w:tcPr>
            <w:tcW w:w="851" w:type="dxa"/>
            <w:vAlign w:val="bottom"/>
          </w:tcPr>
          <w:p w14:paraId="5A697731" w14:textId="77777777" w:rsidR="00907911" w:rsidRPr="00907911" w:rsidRDefault="00907911" w:rsidP="007D2E6B">
            <w:pPr>
              <w:jc w:val="center"/>
              <w:rPr>
                <w:rFonts w:ascii="Arial" w:hAnsi="Arial" w:cs="Arial"/>
                <w:color w:val="000000"/>
              </w:rPr>
            </w:pPr>
            <w:proofErr w:type="spellStart"/>
            <w:r w:rsidRPr="00907911">
              <w:rPr>
                <w:rFonts w:ascii="Arial" w:hAnsi="Arial" w:cs="Arial"/>
                <w:color w:val="000000"/>
              </w:rPr>
              <w:t>Pri</w:t>
            </w:r>
            <w:proofErr w:type="spellEnd"/>
          </w:p>
        </w:tc>
        <w:tc>
          <w:tcPr>
            <w:tcW w:w="770" w:type="dxa"/>
            <w:vAlign w:val="bottom"/>
          </w:tcPr>
          <w:p w14:paraId="1B0E7DA7" w14:textId="77777777" w:rsidR="00907911" w:rsidRPr="00907911" w:rsidRDefault="00907911" w:rsidP="007D2E6B">
            <w:pPr>
              <w:jc w:val="center"/>
              <w:rPr>
                <w:rFonts w:ascii="Arial" w:hAnsi="Arial" w:cs="Arial"/>
                <w:color w:val="000000"/>
              </w:rPr>
            </w:pPr>
            <w:r w:rsidRPr="00907911">
              <w:rPr>
                <w:rFonts w:ascii="Arial" w:hAnsi="Arial" w:cs="Arial"/>
                <w:color w:val="000000"/>
              </w:rPr>
              <w:t>Sec</w:t>
            </w:r>
          </w:p>
        </w:tc>
      </w:tr>
      <w:tr w:rsidR="00907911" w:rsidRPr="00907911" w14:paraId="6A9D10AB" w14:textId="77777777" w:rsidTr="007D2E6B">
        <w:trPr>
          <w:trHeight w:hRule="exact" w:val="284"/>
        </w:trPr>
        <w:tc>
          <w:tcPr>
            <w:tcW w:w="1526" w:type="dxa"/>
            <w:vAlign w:val="bottom"/>
          </w:tcPr>
          <w:p w14:paraId="4528D2D2" w14:textId="77777777" w:rsidR="00907911" w:rsidRPr="00907911" w:rsidRDefault="00907911" w:rsidP="007D2E6B">
            <w:pPr>
              <w:rPr>
                <w:rFonts w:ascii="Arial" w:hAnsi="Arial" w:cs="Arial"/>
                <w:color w:val="000000"/>
              </w:rPr>
            </w:pPr>
            <w:proofErr w:type="spellStart"/>
            <w:r w:rsidRPr="00907911">
              <w:rPr>
                <w:rFonts w:ascii="Arial" w:hAnsi="Arial" w:cs="Arial"/>
                <w:color w:val="000000"/>
              </w:rPr>
              <w:t>Pri</w:t>
            </w:r>
            <w:proofErr w:type="spellEnd"/>
            <w:r w:rsidRPr="00907911">
              <w:rPr>
                <w:rFonts w:ascii="Arial" w:hAnsi="Arial" w:cs="Arial"/>
                <w:color w:val="000000"/>
              </w:rPr>
              <w:t xml:space="preserve"> AWPU</w:t>
            </w:r>
          </w:p>
        </w:tc>
        <w:tc>
          <w:tcPr>
            <w:tcW w:w="1417" w:type="dxa"/>
          </w:tcPr>
          <w:p w14:paraId="4A2C98D5" w14:textId="77777777" w:rsidR="00907911" w:rsidRPr="00907911" w:rsidRDefault="00907911" w:rsidP="007D2E6B">
            <w:pPr>
              <w:jc w:val="center"/>
              <w:rPr>
                <w:rFonts w:ascii="Arial" w:hAnsi="Arial" w:cs="Arial"/>
                <w:color w:val="000000"/>
              </w:rPr>
            </w:pPr>
            <w:r w:rsidRPr="00907911">
              <w:rPr>
                <w:rFonts w:ascii="Arial" w:hAnsi="Arial" w:cs="Arial"/>
              </w:rPr>
              <w:t>£3,429.15</w:t>
            </w:r>
          </w:p>
        </w:tc>
        <w:tc>
          <w:tcPr>
            <w:tcW w:w="1560" w:type="dxa"/>
          </w:tcPr>
          <w:p w14:paraId="2BEFF55A" w14:textId="77777777" w:rsidR="00907911" w:rsidRPr="00907911" w:rsidRDefault="00907911" w:rsidP="007D2E6B">
            <w:pPr>
              <w:jc w:val="center"/>
              <w:rPr>
                <w:rFonts w:ascii="Arial" w:hAnsi="Arial" w:cs="Arial"/>
                <w:color w:val="000000"/>
              </w:rPr>
            </w:pPr>
          </w:p>
        </w:tc>
        <w:tc>
          <w:tcPr>
            <w:tcW w:w="1559" w:type="dxa"/>
          </w:tcPr>
          <w:p w14:paraId="2FA44C99" w14:textId="77777777" w:rsidR="00907911" w:rsidRPr="00907911" w:rsidRDefault="00907911" w:rsidP="007D2E6B">
            <w:pPr>
              <w:jc w:val="center"/>
              <w:rPr>
                <w:rFonts w:ascii="Arial" w:hAnsi="Arial" w:cs="Arial"/>
                <w:color w:val="000000"/>
              </w:rPr>
            </w:pPr>
            <w:r w:rsidRPr="00907911">
              <w:rPr>
                <w:rFonts w:ascii="Arial" w:hAnsi="Arial" w:cs="Arial"/>
              </w:rPr>
              <w:t>£3,540.05</w:t>
            </w:r>
          </w:p>
        </w:tc>
        <w:tc>
          <w:tcPr>
            <w:tcW w:w="1559" w:type="dxa"/>
          </w:tcPr>
          <w:p w14:paraId="4D1B4753" w14:textId="77777777" w:rsidR="00907911" w:rsidRPr="00907911" w:rsidRDefault="00907911" w:rsidP="007D2E6B">
            <w:pPr>
              <w:jc w:val="center"/>
              <w:rPr>
                <w:rFonts w:ascii="Arial" w:hAnsi="Arial" w:cs="Arial"/>
                <w:color w:val="000000"/>
              </w:rPr>
            </w:pPr>
          </w:p>
        </w:tc>
        <w:tc>
          <w:tcPr>
            <w:tcW w:w="851" w:type="dxa"/>
          </w:tcPr>
          <w:p w14:paraId="2A8C0868" w14:textId="77777777" w:rsidR="00907911" w:rsidRPr="00907911" w:rsidRDefault="00907911" w:rsidP="007D2E6B">
            <w:pPr>
              <w:jc w:val="right"/>
              <w:rPr>
                <w:rFonts w:ascii="Arial" w:hAnsi="Arial" w:cs="Arial"/>
                <w:color w:val="000000"/>
              </w:rPr>
            </w:pPr>
            <w:r w:rsidRPr="00907911">
              <w:rPr>
                <w:rFonts w:ascii="Arial" w:hAnsi="Arial" w:cs="Arial"/>
              </w:rPr>
              <w:t>3%</w:t>
            </w:r>
          </w:p>
        </w:tc>
        <w:tc>
          <w:tcPr>
            <w:tcW w:w="770" w:type="dxa"/>
          </w:tcPr>
          <w:p w14:paraId="592B3BAC" w14:textId="77777777" w:rsidR="00907911" w:rsidRPr="00907911" w:rsidRDefault="00907911" w:rsidP="007D2E6B">
            <w:pPr>
              <w:rPr>
                <w:rFonts w:ascii="Arial" w:hAnsi="Arial" w:cs="Arial"/>
                <w:color w:val="000000"/>
              </w:rPr>
            </w:pPr>
          </w:p>
        </w:tc>
      </w:tr>
      <w:tr w:rsidR="00907911" w:rsidRPr="00907911" w14:paraId="172577EF" w14:textId="77777777" w:rsidTr="007D2E6B">
        <w:trPr>
          <w:trHeight w:hRule="exact" w:val="284"/>
        </w:trPr>
        <w:tc>
          <w:tcPr>
            <w:tcW w:w="1526" w:type="dxa"/>
            <w:vAlign w:val="bottom"/>
          </w:tcPr>
          <w:p w14:paraId="26957280" w14:textId="77777777" w:rsidR="00907911" w:rsidRPr="00907911" w:rsidRDefault="00907911" w:rsidP="007D2E6B">
            <w:pPr>
              <w:rPr>
                <w:rFonts w:ascii="Arial" w:hAnsi="Arial" w:cs="Arial"/>
                <w:color w:val="000000"/>
              </w:rPr>
            </w:pPr>
            <w:r w:rsidRPr="00907911">
              <w:rPr>
                <w:rFonts w:ascii="Arial" w:hAnsi="Arial" w:cs="Arial"/>
                <w:color w:val="000000"/>
              </w:rPr>
              <w:t>KS3 AWPU</w:t>
            </w:r>
          </w:p>
        </w:tc>
        <w:tc>
          <w:tcPr>
            <w:tcW w:w="1417" w:type="dxa"/>
          </w:tcPr>
          <w:p w14:paraId="4E564E13" w14:textId="77777777" w:rsidR="00907911" w:rsidRPr="00907911" w:rsidRDefault="00907911" w:rsidP="007D2E6B">
            <w:pPr>
              <w:rPr>
                <w:rFonts w:ascii="Arial" w:hAnsi="Arial" w:cs="Arial"/>
                <w:color w:val="000000"/>
              </w:rPr>
            </w:pPr>
          </w:p>
        </w:tc>
        <w:tc>
          <w:tcPr>
            <w:tcW w:w="1560" w:type="dxa"/>
          </w:tcPr>
          <w:p w14:paraId="5FFE03DF" w14:textId="77777777" w:rsidR="00907911" w:rsidRPr="00907911" w:rsidRDefault="00907911" w:rsidP="007D2E6B">
            <w:pPr>
              <w:jc w:val="right"/>
              <w:rPr>
                <w:rFonts w:ascii="Arial" w:hAnsi="Arial" w:cs="Arial"/>
                <w:color w:val="000000"/>
              </w:rPr>
            </w:pPr>
            <w:r w:rsidRPr="00907911">
              <w:rPr>
                <w:rFonts w:ascii="Arial" w:hAnsi="Arial" w:cs="Arial"/>
              </w:rPr>
              <w:t>£4,835.72</w:t>
            </w:r>
          </w:p>
        </w:tc>
        <w:tc>
          <w:tcPr>
            <w:tcW w:w="1559" w:type="dxa"/>
          </w:tcPr>
          <w:p w14:paraId="2EE75B1A" w14:textId="77777777" w:rsidR="00907911" w:rsidRPr="00907911" w:rsidRDefault="00907911" w:rsidP="007D2E6B">
            <w:pPr>
              <w:rPr>
                <w:rFonts w:ascii="Arial" w:hAnsi="Arial" w:cs="Arial"/>
                <w:color w:val="000000"/>
              </w:rPr>
            </w:pPr>
          </w:p>
        </w:tc>
        <w:tc>
          <w:tcPr>
            <w:tcW w:w="1559" w:type="dxa"/>
          </w:tcPr>
          <w:p w14:paraId="7C9ECD28" w14:textId="77777777" w:rsidR="00907911" w:rsidRPr="00907911" w:rsidRDefault="00907911" w:rsidP="007D2E6B">
            <w:pPr>
              <w:jc w:val="right"/>
              <w:rPr>
                <w:rFonts w:ascii="Arial" w:hAnsi="Arial" w:cs="Arial"/>
                <w:color w:val="000000"/>
              </w:rPr>
            </w:pPr>
            <w:r w:rsidRPr="00907911">
              <w:rPr>
                <w:rFonts w:ascii="Arial" w:hAnsi="Arial" w:cs="Arial"/>
              </w:rPr>
              <w:t>£4,991.51</w:t>
            </w:r>
          </w:p>
        </w:tc>
        <w:tc>
          <w:tcPr>
            <w:tcW w:w="851" w:type="dxa"/>
          </w:tcPr>
          <w:p w14:paraId="73317A21" w14:textId="77777777" w:rsidR="00907911" w:rsidRPr="00907911" w:rsidRDefault="00907911" w:rsidP="007D2E6B">
            <w:pPr>
              <w:rPr>
                <w:rFonts w:ascii="Arial" w:hAnsi="Arial" w:cs="Arial"/>
                <w:color w:val="000000"/>
              </w:rPr>
            </w:pPr>
          </w:p>
        </w:tc>
        <w:tc>
          <w:tcPr>
            <w:tcW w:w="770" w:type="dxa"/>
          </w:tcPr>
          <w:p w14:paraId="4C2734E8" w14:textId="77777777" w:rsidR="00907911" w:rsidRPr="00907911" w:rsidRDefault="00907911" w:rsidP="007D2E6B">
            <w:pPr>
              <w:jc w:val="right"/>
              <w:rPr>
                <w:rFonts w:ascii="Arial" w:hAnsi="Arial" w:cs="Arial"/>
                <w:color w:val="000000"/>
              </w:rPr>
            </w:pPr>
            <w:r w:rsidRPr="00907911">
              <w:rPr>
                <w:rFonts w:ascii="Arial" w:hAnsi="Arial" w:cs="Arial"/>
              </w:rPr>
              <w:t>3%</w:t>
            </w:r>
          </w:p>
        </w:tc>
      </w:tr>
      <w:tr w:rsidR="00907911" w:rsidRPr="00907911" w14:paraId="2ED8AD6B" w14:textId="77777777" w:rsidTr="007D2E6B">
        <w:trPr>
          <w:trHeight w:hRule="exact" w:val="284"/>
        </w:trPr>
        <w:tc>
          <w:tcPr>
            <w:tcW w:w="1526" w:type="dxa"/>
            <w:vAlign w:val="bottom"/>
          </w:tcPr>
          <w:p w14:paraId="1376C286" w14:textId="77777777" w:rsidR="00907911" w:rsidRPr="00907911" w:rsidRDefault="00907911" w:rsidP="007D2E6B">
            <w:pPr>
              <w:rPr>
                <w:rFonts w:ascii="Arial" w:hAnsi="Arial" w:cs="Arial"/>
                <w:color w:val="000000"/>
              </w:rPr>
            </w:pPr>
            <w:r w:rsidRPr="00907911">
              <w:rPr>
                <w:rFonts w:ascii="Arial" w:hAnsi="Arial" w:cs="Arial"/>
                <w:color w:val="000000"/>
              </w:rPr>
              <w:t>KS4 AWPU</w:t>
            </w:r>
          </w:p>
        </w:tc>
        <w:tc>
          <w:tcPr>
            <w:tcW w:w="1417" w:type="dxa"/>
          </w:tcPr>
          <w:p w14:paraId="4E115915" w14:textId="77777777" w:rsidR="00907911" w:rsidRPr="00907911" w:rsidRDefault="00907911" w:rsidP="007D2E6B">
            <w:pPr>
              <w:rPr>
                <w:rFonts w:ascii="Arial" w:hAnsi="Arial" w:cs="Arial"/>
                <w:color w:val="000000"/>
              </w:rPr>
            </w:pPr>
          </w:p>
        </w:tc>
        <w:tc>
          <w:tcPr>
            <w:tcW w:w="1560" w:type="dxa"/>
          </w:tcPr>
          <w:p w14:paraId="0A9362A2" w14:textId="77777777" w:rsidR="00907911" w:rsidRPr="00907911" w:rsidRDefault="00907911" w:rsidP="007D2E6B">
            <w:pPr>
              <w:jc w:val="right"/>
              <w:rPr>
                <w:rFonts w:ascii="Arial" w:hAnsi="Arial" w:cs="Arial"/>
                <w:color w:val="000000"/>
              </w:rPr>
            </w:pPr>
            <w:r w:rsidRPr="00907911">
              <w:rPr>
                <w:rFonts w:ascii="Arial" w:hAnsi="Arial" w:cs="Arial"/>
              </w:rPr>
              <w:t>£5,449.52</w:t>
            </w:r>
          </w:p>
        </w:tc>
        <w:tc>
          <w:tcPr>
            <w:tcW w:w="1559" w:type="dxa"/>
          </w:tcPr>
          <w:p w14:paraId="533B98D2" w14:textId="77777777" w:rsidR="00907911" w:rsidRPr="00907911" w:rsidRDefault="00907911" w:rsidP="007D2E6B">
            <w:pPr>
              <w:rPr>
                <w:rFonts w:ascii="Arial" w:hAnsi="Arial" w:cs="Arial"/>
                <w:color w:val="000000"/>
              </w:rPr>
            </w:pPr>
          </w:p>
        </w:tc>
        <w:tc>
          <w:tcPr>
            <w:tcW w:w="1559" w:type="dxa"/>
          </w:tcPr>
          <w:p w14:paraId="3062A46E" w14:textId="77777777" w:rsidR="00907911" w:rsidRPr="00907911" w:rsidRDefault="00907911" w:rsidP="007D2E6B">
            <w:pPr>
              <w:jc w:val="right"/>
              <w:rPr>
                <w:rFonts w:ascii="Arial" w:hAnsi="Arial" w:cs="Arial"/>
                <w:color w:val="000000"/>
              </w:rPr>
            </w:pPr>
            <w:r w:rsidRPr="00907911">
              <w:rPr>
                <w:rFonts w:ascii="Arial" w:hAnsi="Arial" w:cs="Arial"/>
              </w:rPr>
              <w:t>£5,625.35</w:t>
            </w:r>
          </w:p>
        </w:tc>
        <w:tc>
          <w:tcPr>
            <w:tcW w:w="851" w:type="dxa"/>
          </w:tcPr>
          <w:p w14:paraId="534AD844" w14:textId="77777777" w:rsidR="00907911" w:rsidRPr="00907911" w:rsidRDefault="00907911" w:rsidP="007D2E6B">
            <w:pPr>
              <w:rPr>
                <w:rFonts w:ascii="Arial" w:hAnsi="Arial" w:cs="Arial"/>
                <w:color w:val="000000"/>
              </w:rPr>
            </w:pPr>
          </w:p>
        </w:tc>
        <w:tc>
          <w:tcPr>
            <w:tcW w:w="770" w:type="dxa"/>
          </w:tcPr>
          <w:p w14:paraId="79578D67" w14:textId="77777777" w:rsidR="00907911" w:rsidRPr="00907911" w:rsidRDefault="00907911" w:rsidP="007D2E6B">
            <w:pPr>
              <w:jc w:val="right"/>
              <w:rPr>
                <w:rFonts w:ascii="Arial" w:hAnsi="Arial" w:cs="Arial"/>
                <w:color w:val="000000"/>
              </w:rPr>
            </w:pPr>
            <w:r w:rsidRPr="00907911">
              <w:rPr>
                <w:rFonts w:ascii="Arial" w:hAnsi="Arial" w:cs="Arial"/>
              </w:rPr>
              <w:t>3%</w:t>
            </w:r>
          </w:p>
        </w:tc>
      </w:tr>
      <w:tr w:rsidR="00907911" w:rsidRPr="00907911" w14:paraId="78987092" w14:textId="77777777" w:rsidTr="007D2E6B">
        <w:trPr>
          <w:trHeight w:hRule="exact" w:val="284"/>
        </w:trPr>
        <w:tc>
          <w:tcPr>
            <w:tcW w:w="1526" w:type="dxa"/>
            <w:vAlign w:val="bottom"/>
          </w:tcPr>
          <w:p w14:paraId="4981A53B" w14:textId="77777777" w:rsidR="00907911" w:rsidRPr="00907911" w:rsidRDefault="00907911" w:rsidP="007D2E6B">
            <w:pPr>
              <w:rPr>
                <w:rFonts w:ascii="Arial" w:hAnsi="Arial" w:cs="Arial"/>
                <w:color w:val="000000"/>
              </w:rPr>
            </w:pPr>
            <w:r w:rsidRPr="00907911">
              <w:rPr>
                <w:rFonts w:ascii="Arial" w:hAnsi="Arial" w:cs="Arial"/>
                <w:color w:val="000000"/>
              </w:rPr>
              <w:t>FSM</w:t>
            </w:r>
          </w:p>
        </w:tc>
        <w:tc>
          <w:tcPr>
            <w:tcW w:w="1417" w:type="dxa"/>
          </w:tcPr>
          <w:p w14:paraId="0DACAD97" w14:textId="77777777" w:rsidR="00907911" w:rsidRPr="00907911" w:rsidRDefault="00907911" w:rsidP="007D2E6B">
            <w:pPr>
              <w:jc w:val="right"/>
              <w:rPr>
                <w:rFonts w:ascii="Arial" w:hAnsi="Arial" w:cs="Arial"/>
                <w:color w:val="000000"/>
              </w:rPr>
            </w:pPr>
            <w:r w:rsidRPr="00907911">
              <w:rPr>
                <w:rFonts w:ascii="Arial" w:hAnsi="Arial" w:cs="Arial"/>
              </w:rPr>
              <w:t>£505.09</w:t>
            </w:r>
          </w:p>
        </w:tc>
        <w:tc>
          <w:tcPr>
            <w:tcW w:w="1560" w:type="dxa"/>
          </w:tcPr>
          <w:p w14:paraId="348C3593" w14:textId="77777777" w:rsidR="00907911" w:rsidRPr="00907911" w:rsidRDefault="00907911" w:rsidP="007D2E6B">
            <w:pPr>
              <w:jc w:val="right"/>
              <w:rPr>
                <w:rFonts w:ascii="Arial" w:hAnsi="Arial" w:cs="Arial"/>
                <w:color w:val="000000"/>
              </w:rPr>
            </w:pPr>
            <w:r w:rsidRPr="00907911">
              <w:rPr>
                <w:rFonts w:ascii="Arial" w:hAnsi="Arial" w:cs="Arial"/>
              </w:rPr>
              <w:t>£505.09</w:t>
            </w:r>
          </w:p>
        </w:tc>
        <w:tc>
          <w:tcPr>
            <w:tcW w:w="1559" w:type="dxa"/>
          </w:tcPr>
          <w:p w14:paraId="01F01954" w14:textId="77777777" w:rsidR="00907911" w:rsidRPr="00907911" w:rsidRDefault="00907911" w:rsidP="007D2E6B">
            <w:pPr>
              <w:jc w:val="right"/>
              <w:rPr>
                <w:rFonts w:ascii="Arial" w:hAnsi="Arial" w:cs="Arial"/>
                <w:color w:val="000000"/>
              </w:rPr>
            </w:pPr>
            <w:r w:rsidRPr="00907911">
              <w:rPr>
                <w:rFonts w:ascii="Arial" w:hAnsi="Arial" w:cs="Arial"/>
              </w:rPr>
              <w:t>£517.20</w:t>
            </w:r>
          </w:p>
        </w:tc>
        <w:tc>
          <w:tcPr>
            <w:tcW w:w="1559" w:type="dxa"/>
          </w:tcPr>
          <w:p w14:paraId="73086595" w14:textId="77777777" w:rsidR="00907911" w:rsidRPr="00907911" w:rsidRDefault="00907911" w:rsidP="007D2E6B">
            <w:pPr>
              <w:jc w:val="right"/>
              <w:rPr>
                <w:rFonts w:ascii="Arial" w:hAnsi="Arial" w:cs="Arial"/>
                <w:color w:val="000000"/>
              </w:rPr>
            </w:pPr>
            <w:r w:rsidRPr="00907911">
              <w:rPr>
                <w:rFonts w:ascii="Arial" w:hAnsi="Arial" w:cs="Arial"/>
              </w:rPr>
              <w:t>£517.20</w:t>
            </w:r>
          </w:p>
        </w:tc>
        <w:tc>
          <w:tcPr>
            <w:tcW w:w="851" w:type="dxa"/>
          </w:tcPr>
          <w:p w14:paraId="242DFC92" w14:textId="77777777" w:rsidR="00907911" w:rsidRPr="00907911" w:rsidRDefault="00907911" w:rsidP="007D2E6B">
            <w:pPr>
              <w:jc w:val="right"/>
              <w:rPr>
                <w:rFonts w:ascii="Arial" w:hAnsi="Arial" w:cs="Arial"/>
                <w:color w:val="000000"/>
              </w:rPr>
            </w:pPr>
            <w:r w:rsidRPr="00907911">
              <w:rPr>
                <w:rFonts w:ascii="Arial" w:hAnsi="Arial" w:cs="Arial"/>
              </w:rPr>
              <w:t>2%</w:t>
            </w:r>
          </w:p>
        </w:tc>
        <w:tc>
          <w:tcPr>
            <w:tcW w:w="770" w:type="dxa"/>
          </w:tcPr>
          <w:p w14:paraId="133F25C3" w14:textId="77777777" w:rsidR="00907911" w:rsidRPr="00907911" w:rsidRDefault="00907911" w:rsidP="007D2E6B">
            <w:pPr>
              <w:jc w:val="right"/>
              <w:rPr>
                <w:rFonts w:ascii="Arial" w:hAnsi="Arial" w:cs="Arial"/>
                <w:color w:val="000000"/>
              </w:rPr>
            </w:pPr>
            <w:r w:rsidRPr="00907911">
              <w:rPr>
                <w:rFonts w:ascii="Arial" w:hAnsi="Arial" w:cs="Arial"/>
              </w:rPr>
              <w:t>2%</w:t>
            </w:r>
          </w:p>
        </w:tc>
      </w:tr>
      <w:tr w:rsidR="00907911" w:rsidRPr="00907911" w14:paraId="125BED4E" w14:textId="77777777" w:rsidTr="007D2E6B">
        <w:trPr>
          <w:trHeight w:hRule="exact" w:val="284"/>
        </w:trPr>
        <w:tc>
          <w:tcPr>
            <w:tcW w:w="1526" w:type="dxa"/>
            <w:vAlign w:val="bottom"/>
          </w:tcPr>
          <w:p w14:paraId="0B237CDD" w14:textId="77777777" w:rsidR="00907911" w:rsidRPr="00907911" w:rsidRDefault="00907911" w:rsidP="007D2E6B">
            <w:pPr>
              <w:rPr>
                <w:rFonts w:ascii="Arial" w:hAnsi="Arial" w:cs="Arial"/>
                <w:color w:val="000000"/>
              </w:rPr>
            </w:pPr>
            <w:r w:rsidRPr="00907911">
              <w:rPr>
                <w:rFonts w:ascii="Arial" w:hAnsi="Arial" w:cs="Arial"/>
                <w:color w:val="000000"/>
              </w:rPr>
              <w:t>Ever6</w:t>
            </w:r>
          </w:p>
        </w:tc>
        <w:tc>
          <w:tcPr>
            <w:tcW w:w="1417" w:type="dxa"/>
          </w:tcPr>
          <w:p w14:paraId="6B79EC72" w14:textId="77777777" w:rsidR="00907911" w:rsidRPr="00907911" w:rsidRDefault="00907911" w:rsidP="007D2E6B">
            <w:pPr>
              <w:jc w:val="right"/>
              <w:rPr>
                <w:rFonts w:ascii="Arial" w:hAnsi="Arial" w:cs="Arial"/>
                <w:color w:val="000000"/>
              </w:rPr>
            </w:pPr>
            <w:r w:rsidRPr="00907911">
              <w:rPr>
                <w:rFonts w:ascii="Arial" w:hAnsi="Arial" w:cs="Arial"/>
              </w:rPr>
              <w:t>£631.37</w:t>
            </w:r>
          </w:p>
        </w:tc>
        <w:tc>
          <w:tcPr>
            <w:tcW w:w="1560" w:type="dxa"/>
          </w:tcPr>
          <w:p w14:paraId="3F70BA2A" w14:textId="77777777" w:rsidR="00907911" w:rsidRPr="00907911" w:rsidRDefault="00907911" w:rsidP="007D2E6B">
            <w:pPr>
              <w:jc w:val="right"/>
              <w:rPr>
                <w:rFonts w:ascii="Arial" w:hAnsi="Arial" w:cs="Arial"/>
                <w:color w:val="000000"/>
              </w:rPr>
            </w:pPr>
            <w:r w:rsidRPr="00907911">
              <w:rPr>
                <w:rFonts w:ascii="Arial" w:hAnsi="Arial" w:cs="Arial"/>
              </w:rPr>
              <w:t>£922.35</w:t>
            </w:r>
          </w:p>
        </w:tc>
        <w:tc>
          <w:tcPr>
            <w:tcW w:w="1559" w:type="dxa"/>
          </w:tcPr>
          <w:p w14:paraId="62A2B4B3" w14:textId="77777777" w:rsidR="00907911" w:rsidRPr="00907911" w:rsidRDefault="00907911" w:rsidP="007D2E6B">
            <w:pPr>
              <w:jc w:val="right"/>
              <w:rPr>
                <w:rFonts w:ascii="Arial" w:hAnsi="Arial" w:cs="Arial"/>
                <w:color w:val="000000"/>
              </w:rPr>
            </w:pPr>
            <w:r w:rsidRPr="00907911">
              <w:rPr>
                <w:rFonts w:ascii="Arial" w:hAnsi="Arial" w:cs="Arial"/>
              </w:rPr>
              <w:t>£649.25</w:t>
            </w:r>
          </w:p>
        </w:tc>
        <w:tc>
          <w:tcPr>
            <w:tcW w:w="1559" w:type="dxa"/>
          </w:tcPr>
          <w:p w14:paraId="16FB0FE5" w14:textId="77777777" w:rsidR="00907911" w:rsidRPr="00907911" w:rsidRDefault="00907911" w:rsidP="007D2E6B">
            <w:pPr>
              <w:jc w:val="right"/>
              <w:rPr>
                <w:rFonts w:ascii="Arial" w:hAnsi="Arial" w:cs="Arial"/>
                <w:color w:val="000000"/>
              </w:rPr>
            </w:pPr>
            <w:r w:rsidRPr="00907911">
              <w:rPr>
                <w:rFonts w:ascii="Arial" w:hAnsi="Arial" w:cs="Arial"/>
              </w:rPr>
              <w:t>£951.86</w:t>
            </w:r>
          </w:p>
        </w:tc>
        <w:tc>
          <w:tcPr>
            <w:tcW w:w="851" w:type="dxa"/>
          </w:tcPr>
          <w:p w14:paraId="389D8801" w14:textId="77777777" w:rsidR="00907911" w:rsidRPr="00907911" w:rsidRDefault="00907911" w:rsidP="007D2E6B">
            <w:pPr>
              <w:jc w:val="right"/>
              <w:rPr>
                <w:rFonts w:ascii="Arial" w:hAnsi="Arial" w:cs="Arial"/>
                <w:color w:val="000000"/>
              </w:rPr>
            </w:pPr>
            <w:r w:rsidRPr="00907911">
              <w:rPr>
                <w:rFonts w:ascii="Arial" w:hAnsi="Arial" w:cs="Arial"/>
              </w:rPr>
              <w:t>3%</w:t>
            </w:r>
          </w:p>
        </w:tc>
        <w:tc>
          <w:tcPr>
            <w:tcW w:w="770" w:type="dxa"/>
          </w:tcPr>
          <w:p w14:paraId="0E77509A" w14:textId="77777777" w:rsidR="00907911" w:rsidRPr="00907911" w:rsidRDefault="00907911" w:rsidP="007D2E6B">
            <w:pPr>
              <w:jc w:val="right"/>
              <w:rPr>
                <w:rFonts w:ascii="Arial" w:hAnsi="Arial" w:cs="Arial"/>
                <w:color w:val="000000"/>
              </w:rPr>
            </w:pPr>
            <w:r w:rsidRPr="00907911">
              <w:rPr>
                <w:rFonts w:ascii="Arial" w:hAnsi="Arial" w:cs="Arial"/>
              </w:rPr>
              <w:t>3%</w:t>
            </w:r>
          </w:p>
        </w:tc>
      </w:tr>
      <w:tr w:rsidR="00907911" w:rsidRPr="00907911" w14:paraId="0278BF4C" w14:textId="77777777" w:rsidTr="007D2E6B">
        <w:trPr>
          <w:trHeight w:hRule="exact" w:val="284"/>
        </w:trPr>
        <w:tc>
          <w:tcPr>
            <w:tcW w:w="1526" w:type="dxa"/>
            <w:vAlign w:val="bottom"/>
          </w:tcPr>
          <w:p w14:paraId="6BAB7624" w14:textId="77777777" w:rsidR="00907911" w:rsidRPr="00907911" w:rsidRDefault="00907911" w:rsidP="007D2E6B">
            <w:pPr>
              <w:rPr>
                <w:rFonts w:ascii="Arial" w:hAnsi="Arial" w:cs="Arial"/>
                <w:color w:val="000000"/>
              </w:rPr>
            </w:pPr>
            <w:r w:rsidRPr="00907911">
              <w:rPr>
                <w:rFonts w:ascii="Arial" w:hAnsi="Arial" w:cs="Arial"/>
                <w:color w:val="000000"/>
              </w:rPr>
              <w:t>IDACIF</w:t>
            </w:r>
          </w:p>
        </w:tc>
        <w:tc>
          <w:tcPr>
            <w:tcW w:w="1417" w:type="dxa"/>
          </w:tcPr>
          <w:p w14:paraId="2BE034BF" w14:textId="77777777" w:rsidR="00907911" w:rsidRPr="00907911" w:rsidRDefault="00907911" w:rsidP="007D2E6B">
            <w:pPr>
              <w:jc w:val="right"/>
              <w:rPr>
                <w:rFonts w:ascii="Arial" w:hAnsi="Arial" w:cs="Arial"/>
                <w:color w:val="000000"/>
              </w:rPr>
            </w:pPr>
            <w:r w:rsidRPr="00907911">
              <w:rPr>
                <w:rFonts w:ascii="Arial" w:hAnsi="Arial" w:cs="Arial"/>
              </w:rPr>
              <w:t>£236.08</w:t>
            </w:r>
          </w:p>
        </w:tc>
        <w:tc>
          <w:tcPr>
            <w:tcW w:w="1560" w:type="dxa"/>
          </w:tcPr>
          <w:p w14:paraId="53544BFE" w14:textId="77777777" w:rsidR="00907911" w:rsidRPr="00907911" w:rsidRDefault="00907911" w:rsidP="007D2E6B">
            <w:pPr>
              <w:jc w:val="right"/>
              <w:rPr>
                <w:rFonts w:ascii="Arial" w:hAnsi="Arial" w:cs="Arial"/>
                <w:color w:val="000000"/>
              </w:rPr>
            </w:pPr>
            <w:r w:rsidRPr="00907911">
              <w:rPr>
                <w:rFonts w:ascii="Arial" w:hAnsi="Arial" w:cs="Arial"/>
              </w:rPr>
              <w:t>£340.39</w:t>
            </w:r>
          </w:p>
        </w:tc>
        <w:tc>
          <w:tcPr>
            <w:tcW w:w="1559" w:type="dxa"/>
          </w:tcPr>
          <w:p w14:paraId="63F4297C" w14:textId="77777777" w:rsidR="00907911" w:rsidRPr="00907911" w:rsidRDefault="00907911" w:rsidP="007D2E6B">
            <w:pPr>
              <w:jc w:val="right"/>
              <w:rPr>
                <w:rFonts w:ascii="Arial" w:hAnsi="Arial" w:cs="Arial"/>
                <w:color w:val="000000"/>
              </w:rPr>
            </w:pPr>
            <w:r w:rsidRPr="00907911">
              <w:rPr>
                <w:rFonts w:ascii="Arial" w:hAnsi="Arial" w:cs="Arial"/>
              </w:rPr>
              <w:t>£242.09</w:t>
            </w:r>
          </w:p>
        </w:tc>
        <w:tc>
          <w:tcPr>
            <w:tcW w:w="1559" w:type="dxa"/>
          </w:tcPr>
          <w:p w14:paraId="28E86E90" w14:textId="77777777" w:rsidR="00907911" w:rsidRPr="00907911" w:rsidRDefault="00907911" w:rsidP="007D2E6B">
            <w:pPr>
              <w:jc w:val="right"/>
              <w:rPr>
                <w:rFonts w:ascii="Arial" w:hAnsi="Arial" w:cs="Arial"/>
                <w:color w:val="000000"/>
              </w:rPr>
            </w:pPr>
            <w:r w:rsidRPr="00907911">
              <w:rPr>
                <w:rFonts w:ascii="Arial" w:hAnsi="Arial" w:cs="Arial"/>
              </w:rPr>
              <w:t>£352.13</w:t>
            </w:r>
          </w:p>
        </w:tc>
        <w:tc>
          <w:tcPr>
            <w:tcW w:w="851" w:type="dxa"/>
          </w:tcPr>
          <w:p w14:paraId="77E64F18" w14:textId="77777777" w:rsidR="00907911" w:rsidRPr="00907911" w:rsidRDefault="00907911" w:rsidP="007D2E6B">
            <w:pPr>
              <w:jc w:val="right"/>
              <w:rPr>
                <w:rFonts w:ascii="Arial" w:hAnsi="Arial" w:cs="Arial"/>
                <w:color w:val="000000"/>
              </w:rPr>
            </w:pPr>
            <w:r w:rsidRPr="00907911">
              <w:rPr>
                <w:rFonts w:ascii="Arial" w:hAnsi="Arial" w:cs="Arial"/>
              </w:rPr>
              <w:t>3%</w:t>
            </w:r>
          </w:p>
        </w:tc>
        <w:tc>
          <w:tcPr>
            <w:tcW w:w="770" w:type="dxa"/>
          </w:tcPr>
          <w:p w14:paraId="5975422E" w14:textId="77777777" w:rsidR="00907911" w:rsidRPr="00907911" w:rsidRDefault="00907911" w:rsidP="007D2E6B">
            <w:pPr>
              <w:jc w:val="right"/>
              <w:rPr>
                <w:rFonts w:ascii="Arial" w:hAnsi="Arial" w:cs="Arial"/>
                <w:color w:val="000000"/>
              </w:rPr>
            </w:pPr>
            <w:r w:rsidRPr="00907911">
              <w:rPr>
                <w:rFonts w:ascii="Arial" w:hAnsi="Arial" w:cs="Arial"/>
              </w:rPr>
              <w:t>3%</w:t>
            </w:r>
          </w:p>
        </w:tc>
      </w:tr>
      <w:tr w:rsidR="00907911" w:rsidRPr="00907911" w14:paraId="76FDD341" w14:textId="77777777" w:rsidTr="007D2E6B">
        <w:trPr>
          <w:trHeight w:hRule="exact" w:val="284"/>
        </w:trPr>
        <w:tc>
          <w:tcPr>
            <w:tcW w:w="1526" w:type="dxa"/>
            <w:vAlign w:val="bottom"/>
          </w:tcPr>
          <w:p w14:paraId="6D4F7F41" w14:textId="77777777" w:rsidR="00907911" w:rsidRPr="00907911" w:rsidRDefault="00907911" w:rsidP="007D2E6B">
            <w:pPr>
              <w:rPr>
                <w:rFonts w:ascii="Arial" w:hAnsi="Arial" w:cs="Arial"/>
                <w:color w:val="000000"/>
              </w:rPr>
            </w:pPr>
            <w:r w:rsidRPr="00907911">
              <w:rPr>
                <w:rFonts w:ascii="Arial" w:hAnsi="Arial" w:cs="Arial"/>
                <w:color w:val="000000"/>
              </w:rPr>
              <w:t>IDACIE</w:t>
            </w:r>
          </w:p>
        </w:tc>
        <w:tc>
          <w:tcPr>
            <w:tcW w:w="1417" w:type="dxa"/>
          </w:tcPr>
          <w:p w14:paraId="1DD1C6BF" w14:textId="77777777" w:rsidR="00907911" w:rsidRPr="00907911" w:rsidRDefault="00907911" w:rsidP="007D2E6B">
            <w:pPr>
              <w:jc w:val="right"/>
              <w:rPr>
                <w:rFonts w:ascii="Arial" w:hAnsi="Arial" w:cs="Arial"/>
                <w:color w:val="000000"/>
              </w:rPr>
            </w:pPr>
            <w:r w:rsidRPr="00907911">
              <w:rPr>
                <w:rFonts w:ascii="Arial" w:hAnsi="Arial" w:cs="Arial"/>
              </w:rPr>
              <w:t>£285.49</w:t>
            </w:r>
          </w:p>
        </w:tc>
        <w:tc>
          <w:tcPr>
            <w:tcW w:w="1560" w:type="dxa"/>
          </w:tcPr>
          <w:p w14:paraId="13C2479C" w14:textId="77777777" w:rsidR="00907911" w:rsidRPr="00907911" w:rsidRDefault="00907911" w:rsidP="007D2E6B">
            <w:pPr>
              <w:jc w:val="right"/>
              <w:rPr>
                <w:rFonts w:ascii="Arial" w:hAnsi="Arial" w:cs="Arial"/>
                <w:color w:val="000000"/>
              </w:rPr>
            </w:pPr>
            <w:r w:rsidRPr="00907911">
              <w:rPr>
                <w:rFonts w:ascii="Arial" w:hAnsi="Arial" w:cs="Arial"/>
              </w:rPr>
              <w:t>£455.68</w:t>
            </w:r>
          </w:p>
        </w:tc>
        <w:tc>
          <w:tcPr>
            <w:tcW w:w="1559" w:type="dxa"/>
          </w:tcPr>
          <w:p w14:paraId="1F41E452" w14:textId="77777777" w:rsidR="00907911" w:rsidRPr="00907911" w:rsidRDefault="00907911" w:rsidP="007D2E6B">
            <w:pPr>
              <w:jc w:val="right"/>
              <w:rPr>
                <w:rFonts w:ascii="Arial" w:hAnsi="Arial" w:cs="Arial"/>
                <w:color w:val="000000"/>
              </w:rPr>
            </w:pPr>
            <w:r w:rsidRPr="00907911">
              <w:rPr>
                <w:rFonts w:ascii="Arial" w:hAnsi="Arial" w:cs="Arial"/>
              </w:rPr>
              <w:t>£297.11</w:t>
            </w:r>
          </w:p>
        </w:tc>
        <w:tc>
          <w:tcPr>
            <w:tcW w:w="1559" w:type="dxa"/>
          </w:tcPr>
          <w:p w14:paraId="3DE0DD8E" w14:textId="77777777" w:rsidR="00907911" w:rsidRPr="00907911" w:rsidRDefault="00907911" w:rsidP="007D2E6B">
            <w:pPr>
              <w:jc w:val="right"/>
              <w:rPr>
                <w:rFonts w:ascii="Arial" w:hAnsi="Arial" w:cs="Arial"/>
                <w:color w:val="000000"/>
              </w:rPr>
            </w:pPr>
            <w:r w:rsidRPr="00907911">
              <w:rPr>
                <w:rFonts w:ascii="Arial" w:hAnsi="Arial" w:cs="Arial"/>
              </w:rPr>
              <w:t>£467.68</w:t>
            </w:r>
          </w:p>
        </w:tc>
        <w:tc>
          <w:tcPr>
            <w:tcW w:w="851" w:type="dxa"/>
          </w:tcPr>
          <w:p w14:paraId="76A05A2A" w14:textId="77777777" w:rsidR="00907911" w:rsidRPr="00907911" w:rsidRDefault="00907911" w:rsidP="007D2E6B">
            <w:pPr>
              <w:jc w:val="right"/>
              <w:rPr>
                <w:rFonts w:ascii="Arial" w:hAnsi="Arial" w:cs="Arial"/>
                <w:color w:val="000000"/>
              </w:rPr>
            </w:pPr>
            <w:r w:rsidRPr="00907911">
              <w:rPr>
                <w:rFonts w:ascii="Arial" w:hAnsi="Arial" w:cs="Arial"/>
              </w:rPr>
              <w:t>4%</w:t>
            </w:r>
          </w:p>
        </w:tc>
        <w:tc>
          <w:tcPr>
            <w:tcW w:w="770" w:type="dxa"/>
          </w:tcPr>
          <w:p w14:paraId="00AFE556" w14:textId="77777777" w:rsidR="00907911" w:rsidRPr="00907911" w:rsidRDefault="00907911" w:rsidP="007D2E6B">
            <w:pPr>
              <w:jc w:val="right"/>
              <w:rPr>
                <w:rFonts w:ascii="Arial" w:hAnsi="Arial" w:cs="Arial"/>
                <w:color w:val="000000"/>
              </w:rPr>
            </w:pPr>
            <w:r w:rsidRPr="00907911">
              <w:rPr>
                <w:rFonts w:ascii="Arial" w:hAnsi="Arial" w:cs="Arial"/>
              </w:rPr>
              <w:t>3%</w:t>
            </w:r>
          </w:p>
        </w:tc>
      </w:tr>
      <w:tr w:rsidR="00907911" w:rsidRPr="00907911" w14:paraId="4060BA14" w14:textId="77777777" w:rsidTr="007D2E6B">
        <w:trPr>
          <w:trHeight w:hRule="exact" w:val="284"/>
        </w:trPr>
        <w:tc>
          <w:tcPr>
            <w:tcW w:w="1526" w:type="dxa"/>
            <w:vAlign w:val="bottom"/>
          </w:tcPr>
          <w:p w14:paraId="029E5B9B" w14:textId="77777777" w:rsidR="00907911" w:rsidRPr="00907911" w:rsidRDefault="00907911" w:rsidP="007D2E6B">
            <w:pPr>
              <w:rPr>
                <w:rFonts w:ascii="Arial" w:hAnsi="Arial" w:cs="Arial"/>
                <w:color w:val="000000"/>
              </w:rPr>
            </w:pPr>
            <w:r w:rsidRPr="00907911">
              <w:rPr>
                <w:rFonts w:ascii="Arial" w:hAnsi="Arial" w:cs="Arial"/>
                <w:color w:val="000000"/>
              </w:rPr>
              <w:t>IDACID</w:t>
            </w:r>
          </w:p>
        </w:tc>
        <w:tc>
          <w:tcPr>
            <w:tcW w:w="1417" w:type="dxa"/>
          </w:tcPr>
          <w:p w14:paraId="102CF30C" w14:textId="77777777" w:rsidR="00907911" w:rsidRPr="00907911" w:rsidRDefault="00907911" w:rsidP="007D2E6B">
            <w:pPr>
              <w:jc w:val="right"/>
              <w:rPr>
                <w:rFonts w:ascii="Arial" w:hAnsi="Arial" w:cs="Arial"/>
                <w:color w:val="000000"/>
              </w:rPr>
            </w:pPr>
            <w:r w:rsidRPr="00907911">
              <w:rPr>
                <w:rFonts w:ascii="Arial" w:hAnsi="Arial" w:cs="Arial"/>
              </w:rPr>
              <w:t>£450.19</w:t>
            </w:r>
          </w:p>
        </w:tc>
        <w:tc>
          <w:tcPr>
            <w:tcW w:w="1560" w:type="dxa"/>
          </w:tcPr>
          <w:p w14:paraId="2774CD82" w14:textId="77777777" w:rsidR="00907911" w:rsidRPr="00907911" w:rsidRDefault="00907911" w:rsidP="007D2E6B">
            <w:pPr>
              <w:jc w:val="right"/>
              <w:rPr>
                <w:rFonts w:ascii="Arial" w:hAnsi="Arial" w:cs="Arial"/>
                <w:color w:val="000000"/>
              </w:rPr>
            </w:pPr>
            <w:r w:rsidRPr="00907911">
              <w:rPr>
                <w:rFonts w:ascii="Arial" w:hAnsi="Arial" w:cs="Arial"/>
              </w:rPr>
              <w:t>£636.86</w:t>
            </w:r>
          </w:p>
        </w:tc>
        <w:tc>
          <w:tcPr>
            <w:tcW w:w="1559" w:type="dxa"/>
          </w:tcPr>
          <w:p w14:paraId="46FCBCE8" w14:textId="77777777" w:rsidR="00907911" w:rsidRPr="00907911" w:rsidRDefault="00907911" w:rsidP="007D2E6B">
            <w:pPr>
              <w:jc w:val="right"/>
              <w:rPr>
                <w:rFonts w:ascii="Arial" w:hAnsi="Arial" w:cs="Arial"/>
                <w:color w:val="000000"/>
              </w:rPr>
            </w:pPr>
            <w:r w:rsidRPr="00907911">
              <w:rPr>
                <w:rFonts w:ascii="Arial" w:hAnsi="Arial" w:cs="Arial"/>
              </w:rPr>
              <w:t>£462.18</w:t>
            </w:r>
          </w:p>
        </w:tc>
        <w:tc>
          <w:tcPr>
            <w:tcW w:w="1559" w:type="dxa"/>
          </w:tcPr>
          <w:p w14:paraId="68E7F176" w14:textId="77777777" w:rsidR="00907911" w:rsidRPr="00907911" w:rsidRDefault="00907911" w:rsidP="007D2E6B">
            <w:pPr>
              <w:jc w:val="right"/>
              <w:rPr>
                <w:rFonts w:ascii="Arial" w:hAnsi="Arial" w:cs="Arial"/>
                <w:color w:val="000000"/>
              </w:rPr>
            </w:pPr>
            <w:r w:rsidRPr="00907911">
              <w:rPr>
                <w:rFonts w:ascii="Arial" w:hAnsi="Arial" w:cs="Arial"/>
              </w:rPr>
              <w:t>£654.75</w:t>
            </w:r>
          </w:p>
        </w:tc>
        <w:tc>
          <w:tcPr>
            <w:tcW w:w="851" w:type="dxa"/>
          </w:tcPr>
          <w:p w14:paraId="25272C43" w14:textId="77777777" w:rsidR="00907911" w:rsidRPr="00907911" w:rsidRDefault="00907911" w:rsidP="007D2E6B">
            <w:pPr>
              <w:jc w:val="right"/>
              <w:rPr>
                <w:rFonts w:ascii="Arial" w:hAnsi="Arial" w:cs="Arial"/>
                <w:color w:val="000000"/>
              </w:rPr>
            </w:pPr>
            <w:r w:rsidRPr="00907911">
              <w:rPr>
                <w:rFonts w:ascii="Arial" w:hAnsi="Arial" w:cs="Arial"/>
              </w:rPr>
              <w:t>3%</w:t>
            </w:r>
          </w:p>
        </w:tc>
        <w:tc>
          <w:tcPr>
            <w:tcW w:w="770" w:type="dxa"/>
          </w:tcPr>
          <w:p w14:paraId="6AD9CB7F" w14:textId="77777777" w:rsidR="00907911" w:rsidRPr="00907911" w:rsidRDefault="00907911" w:rsidP="007D2E6B">
            <w:pPr>
              <w:jc w:val="right"/>
              <w:rPr>
                <w:rFonts w:ascii="Arial" w:hAnsi="Arial" w:cs="Arial"/>
                <w:color w:val="000000"/>
              </w:rPr>
            </w:pPr>
            <w:r w:rsidRPr="00907911">
              <w:rPr>
                <w:rFonts w:ascii="Arial" w:hAnsi="Arial" w:cs="Arial"/>
              </w:rPr>
              <w:t>3%</w:t>
            </w:r>
          </w:p>
        </w:tc>
      </w:tr>
      <w:tr w:rsidR="00907911" w:rsidRPr="00907911" w14:paraId="1BC13006" w14:textId="77777777" w:rsidTr="007D2E6B">
        <w:trPr>
          <w:trHeight w:hRule="exact" w:val="284"/>
        </w:trPr>
        <w:tc>
          <w:tcPr>
            <w:tcW w:w="1526" w:type="dxa"/>
            <w:vAlign w:val="bottom"/>
          </w:tcPr>
          <w:p w14:paraId="59CF5D51" w14:textId="77777777" w:rsidR="00907911" w:rsidRPr="00907911" w:rsidRDefault="00907911" w:rsidP="007D2E6B">
            <w:pPr>
              <w:rPr>
                <w:rFonts w:ascii="Arial" w:hAnsi="Arial" w:cs="Arial"/>
                <w:color w:val="000000"/>
              </w:rPr>
            </w:pPr>
            <w:r w:rsidRPr="00907911">
              <w:rPr>
                <w:rFonts w:ascii="Arial" w:hAnsi="Arial" w:cs="Arial"/>
                <w:color w:val="000000"/>
              </w:rPr>
              <w:t>IDACIC</w:t>
            </w:r>
          </w:p>
        </w:tc>
        <w:tc>
          <w:tcPr>
            <w:tcW w:w="1417" w:type="dxa"/>
          </w:tcPr>
          <w:p w14:paraId="033BD448" w14:textId="77777777" w:rsidR="00907911" w:rsidRPr="00907911" w:rsidRDefault="00907911" w:rsidP="007D2E6B">
            <w:pPr>
              <w:jc w:val="right"/>
              <w:rPr>
                <w:rFonts w:ascii="Arial" w:hAnsi="Arial" w:cs="Arial"/>
                <w:color w:val="000000"/>
              </w:rPr>
            </w:pPr>
            <w:r w:rsidRPr="00907911">
              <w:rPr>
                <w:rFonts w:ascii="Arial" w:hAnsi="Arial" w:cs="Arial"/>
              </w:rPr>
              <w:t>£488.62</w:t>
            </w:r>
          </w:p>
        </w:tc>
        <w:tc>
          <w:tcPr>
            <w:tcW w:w="1560" w:type="dxa"/>
          </w:tcPr>
          <w:p w14:paraId="294B7831" w14:textId="77777777" w:rsidR="00907911" w:rsidRPr="00907911" w:rsidRDefault="00907911" w:rsidP="007D2E6B">
            <w:pPr>
              <w:jc w:val="right"/>
              <w:rPr>
                <w:rFonts w:ascii="Arial" w:hAnsi="Arial" w:cs="Arial"/>
                <w:color w:val="000000"/>
              </w:rPr>
            </w:pPr>
            <w:r w:rsidRPr="00907911">
              <w:rPr>
                <w:rFonts w:ascii="Arial" w:hAnsi="Arial" w:cs="Arial"/>
              </w:rPr>
              <w:t>£691.76</w:t>
            </w:r>
          </w:p>
        </w:tc>
        <w:tc>
          <w:tcPr>
            <w:tcW w:w="1559" w:type="dxa"/>
          </w:tcPr>
          <w:p w14:paraId="4F4EC5D2" w14:textId="77777777" w:rsidR="00907911" w:rsidRPr="00907911" w:rsidRDefault="00907911" w:rsidP="007D2E6B">
            <w:pPr>
              <w:jc w:val="right"/>
              <w:rPr>
                <w:rFonts w:ascii="Arial" w:hAnsi="Arial" w:cs="Arial"/>
                <w:color w:val="000000"/>
              </w:rPr>
            </w:pPr>
            <w:r w:rsidRPr="00907911">
              <w:rPr>
                <w:rFonts w:ascii="Arial" w:hAnsi="Arial" w:cs="Arial"/>
              </w:rPr>
              <w:t>£506.19</w:t>
            </w:r>
          </w:p>
        </w:tc>
        <w:tc>
          <w:tcPr>
            <w:tcW w:w="1559" w:type="dxa"/>
          </w:tcPr>
          <w:p w14:paraId="1C07E7DA" w14:textId="77777777" w:rsidR="00907911" w:rsidRPr="00907911" w:rsidRDefault="00907911" w:rsidP="007D2E6B">
            <w:pPr>
              <w:jc w:val="right"/>
              <w:rPr>
                <w:rFonts w:ascii="Arial" w:hAnsi="Arial" w:cs="Arial"/>
                <w:color w:val="000000"/>
              </w:rPr>
            </w:pPr>
            <w:r w:rsidRPr="00907911">
              <w:rPr>
                <w:rFonts w:ascii="Arial" w:hAnsi="Arial" w:cs="Arial"/>
              </w:rPr>
              <w:t>£715.27</w:t>
            </w:r>
          </w:p>
        </w:tc>
        <w:tc>
          <w:tcPr>
            <w:tcW w:w="851" w:type="dxa"/>
          </w:tcPr>
          <w:p w14:paraId="76565282" w14:textId="77777777" w:rsidR="00907911" w:rsidRPr="00907911" w:rsidRDefault="00907911" w:rsidP="007D2E6B">
            <w:pPr>
              <w:jc w:val="right"/>
              <w:rPr>
                <w:rFonts w:ascii="Arial" w:hAnsi="Arial" w:cs="Arial"/>
                <w:color w:val="000000"/>
              </w:rPr>
            </w:pPr>
            <w:r w:rsidRPr="00907911">
              <w:rPr>
                <w:rFonts w:ascii="Arial" w:hAnsi="Arial" w:cs="Arial"/>
              </w:rPr>
              <w:t>4%</w:t>
            </w:r>
          </w:p>
        </w:tc>
        <w:tc>
          <w:tcPr>
            <w:tcW w:w="770" w:type="dxa"/>
          </w:tcPr>
          <w:p w14:paraId="68A84DE5" w14:textId="77777777" w:rsidR="00907911" w:rsidRPr="00907911" w:rsidRDefault="00907911" w:rsidP="007D2E6B">
            <w:pPr>
              <w:jc w:val="right"/>
              <w:rPr>
                <w:rFonts w:ascii="Arial" w:hAnsi="Arial" w:cs="Arial"/>
                <w:color w:val="000000"/>
              </w:rPr>
            </w:pPr>
            <w:r w:rsidRPr="00907911">
              <w:rPr>
                <w:rFonts w:ascii="Arial" w:hAnsi="Arial" w:cs="Arial"/>
              </w:rPr>
              <w:t>3%</w:t>
            </w:r>
          </w:p>
        </w:tc>
      </w:tr>
      <w:tr w:rsidR="00907911" w:rsidRPr="00907911" w14:paraId="11C0CD1C" w14:textId="77777777" w:rsidTr="007D2E6B">
        <w:trPr>
          <w:trHeight w:hRule="exact" w:val="284"/>
        </w:trPr>
        <w:tc>
          <w:tcPr>
            <w:tcW w:w="1526" w:type="dxa"/>
            <w:vAlign w:val="bottom"/>
          </w:tcPr>
          <w:p w14:paraId="5D5C03E2" w14:textId="77777777" w:rsidR="00907911" w:rsidRPr="00907911" w:rsidRDefault="00907911" w:rsidP="007D2E6B">
            <w:pPr>
              <w:rPr>
                <w:rFonts w:ascii="Arial" w:hAnsi="Arial" w:cs="Arial"/>
                <w:color w:val="000000"/>
              </w:rPr>
            </w:pPr>
            <w:r w:rsidRPr="00907911">
              <w:rPr>
                <w:rFonts w:ascii="Arial" w:hAnsi="Arial" w:cs="Arial"/>
                <w:color w:val="000000"/>
              </w:rPr>
              <w:t>IDACIB</w:t>
            </w:r>
          </w:p>
        </w:tc>
        <w:tc>
          <w:tcPr>
            <w:tcW w:w="1417" w:type="dxa"/>
          </w:tcPr>
          <w:p w14:paraId="2E0DEDAA" w14:textId="77777777" w:rsidR="00907911" w:rsidRPr="00907911" w:rsidRDefault="00907911" w:rsidP="007D2E6B">
            <w:pPr>
              <w:jc w:val="right"/>
              <w:rPr>
                <w:rFonts w:ascii="Arial" w:hAnsi="Arial" w:cs="Arial"/>
                <w:color w:val="000000"/>
              </w:rPr>
            </w:pPr>
            <w:r w:rsidRPr="00907911">
              <w:rPr>
                <w:rFonts w:ascii="Arial" w:hAnsi="Arial" w:cs="Arial"/>
              </w:rPr>
              <w:t>£521.56</w:t>
            </w:r>
          </w:p>
        </w:tc>
        <w:tc>
          <w:tcPr>
            <w:tcW w:w="1560" w:type="dxa"/>
          </w:tcPr>
          <w:p w14:paraId="67635032" w14:textId="77777777" w:rsidR="00907911" w:rsidRPr="00907911" w:rsidRDefault="00907911" w:rsidP="007D2E6B">
            <w:pPr>
              <w:jc w:val="right"/>
              <w:rPr>
                <w:rFonts w:ascii="Arial" w:hAnsi="Arial" w:cs="Arial"/>
                <w:color w:val="000000"/>
              </w:rPr>
            </w:pPr>
            <w:r w:rsidRPr="00907911">
              <w:rPr>
                <w:rFonts w:ascii="Arial" w:hAnsi="Arial" w:cs="Arial"/>
              </w:rPr>
              <w:t>£746.66</w:t>
            </w:r>
          </w:p>
        </w:tc>
        <w:tc>
          <w:tcPr>
            <w:tcW w:w="1559" w:type="dxa"/>
          </w:tcPr>
          <w:p w14:paraId="68088C44" w14:textId="77777777" w:rsidR="00907911" w:rsidRPr="00907911" w:rsidRDefault="00907911" w:rsidP="007D2E6B">
            <w:pPr>
              <w:jc w:val="right"/>
              <w:rPr>
                <w:rFonts w:ascii="Arial" w:hAnsi="Arial" w:cs="Arial"/>
                <w:color w:val="000000"/>
              </w:rPr>
            </w:pPr>
            <w:r w:rsidRPr="00907911">
              <w:rPr>
                <w:rFonts w:ascii="Arial" w:hAnsi="Arial" w:cs="Arial"/>
              </w:rPr>
              <w:t>£539.21</w:t>
            </w:r>
          </w:p>
        </w:tc>
        <w:tc>
          <w:tcPr>
            <w:tcW w:w="1559" w:type="dxa"/>
          </w:tcPr>
          <w:p w14:paraId="2AFA0171" w14:textId="77777777" w:rsidR="00907911" w:rsidRPr="00907911" w:rsidRDefault="00907911" w:rsidP="007D2E6B">
            <w:pPr>
              <w:jc w:val="right"/>
              <w:rPr>
                <w:rFonts w:ascii="Arial" w:hAnsi="Arial" w:cs="Arial"/>
                <w:color w:val="000000"/>
              </w:rPr>
            </w:pPr>
            <w:r w:rsidRPr="00907911">
              <w:rPr>
                <w:rFonts w:ascii="Arial" w:hAnsi="Arial" w:cs="Arial"/>
              </w:rPr>
              <w:t>£770.29</w:t>
            </w:r>
          </w:p>
        </w:tc>
        <w:tc>
          <w:tcPr>
            <w:tcW w:w="851" w:type="dxa"/>
          </w:tcPr>
          <w:p w14:paraId="541625BD" w14:textId="77777777" w:rsidR="00907911" w:rsidRPr="00907911" w:rsidRDefault="00907911" w:rsidP="007D2E6B">
            <w:pPr>
              <w:jc w:val="right"/>
              <w:rPr>
                <w:rFonts w:ascii="Arial" w:hAnsi="Arial" w:cs="Arial"/>
                <w:color w:val="000000"/>
              </w:rPr>
            </w:pPr>
            <w:r w:rsidRPr="00907911">
              <w:rPr>
                <w:rFonts w:ascii="Arial" w:hAnsi="Arial" w:cs="Arial"/>
              </w:rPr>
              <w:t>3%</w:t>
            </w:r>
          </w:p>
        </w:tc>
        <w:tc>
          <w:tcPr>
            <w:tcW w:w="770" w:type="dxa"/>
          </w:tcPr>
          <w:p w14:paraId="70B2ADC2" w14:textId="77777777" w:rsidR="00907911" w:rsidRPr="00907911" w:rsidRDefault="00907911" w:rsidP="007D2E6B">
            <w:pPr>
              <w:jc w:val="right"/>
              <w:rPr>
                <w:rFonts w:ascii="Arial" w:hAnsi="Arial" w:cs="Arial"/>
                <w:color w:val="000000"/>
              </w:rPr>
            </w:pPr>
            <w:r w:rsidRPr="00907911">
              <w:rPr>
                <w:rFonts w:ascii="Arial" w:hAnsi="Arial" w:cs="Arial"/>
              </w:rPr>
              <w:t>3%</w:t>
            </w:r>
          </w:p>
        </w:tc>
      </w:tr>
      <w:tr w:rsidR="00907911" w:rsidRPr="00907911" w14:paraId="57BEFC01" w14:textId="77777777" w:rsidTr="007D2E6B">
        <w:trPr>
          <w:trHeight w:hRule="exact" w:val="284"/>
        </w:trPr>
        <w:tc>
          <w:tcPr>
            <w:tcW w:w="1526" w:type="dxa"/>
            <w:vAlign w:val="bottom"/>
          </w:tcPr>
          <w:p w14:paraId="2C8978B9" w14:textId="77777777" w:rsidR="00907911" w:rsidRPr="00907911" w:rsidRDefault="00907911" w:rsidP="007D2E6B">
            <w:pPr>
              <w:rPr>
                <w:rFonts w:ascii="Arial" w:hAnsi="Arial" w:cs="Arial"/>
                <w:color w:val="000000"/>
              </w:rPr>
            </w:pPr>
            <w:r w:rsidRPr="00907911">
              <w:rPr>
                <w:rFonts w:ascii="Arial" w:hAnsi="Arial" w:cs="Arial"/>
                <w:color w:val="000000"/>
              </w:rPr>
              <w:t>IDACIA</w:t>
            </w:r>
          </w:p>
        </w:tc>
        <w:tc>
          <w:tcPr>
            <w:tcW w:w="1417" w:type="dxa"/>
          </w:tcPr>
          <w:p w14:paraId="30E92AF9" w14:textId="77777777" w:rsidR="00907911" w:rsidRPr="00907911" w:rsidRDefault="00907911" w:rsidP="007D2E6B">
            <w:pPr>
              <w:jc w:val="right"/>
              <w:rPr>
                <w:rFonts w:ascii="Arial" w:hAnsi="Arial" w:cs="Arial"/>
                <w:color w:val="000000"/>
              </w:rPr>
            </w:pPr>
            <w:r w:rsidRPr="00907911">
              <w:rPr>
                <w:rFonts w:ascii="Arial" w:hAnsi="Arial" w:cs="Arial"/>
              </w:rPr>
              <w:t>£680.78</w:t>
            </w:r>
          </w:p>
        </w:tc>
        <w:tc>
          <w:tcPr>
            <w:tcW w:w="1560" w:type="dxa"/>
          </w:tcPr>
          <w:p w14:paraId="7C225D28" w14:textId="77777777" w:rsidR="00907911" w:rsidRPr="00907911" w:rsidRDefault="00907911" w:rsidP="007D2E6B">
            <w:pPr>
              <w:jc w:val="right"/>
              <w:rPr>
                <w:rFonts w:ascii="Arial" w:hAnsi="Arial" w:cs="Arial"/>
                <w:color w:val="000000"/>
              </w:rPr>
            </w:pPr>
            <w:r w:rsidRPr="00907911">
              <w:rPr>
                <w:rFonts w:ascii="Arial" w:hAnsi="Arial" w:cs="Arial"/>
              </w:rPr>
              <w:t>£949.80</w:t>
            </w:r>
          </w:p>
        </w:tc>
        <w:tc>
          <w:tcPr>
            <w:tcW w:w="1559" w:type="dxa"/>
          </w:tcPr>
          <w:p w14:paraId="4D5CCB68" w14:textId="77777777" w:rsidR="00907911" w:rsidRPr="00907911" w:rsidRDefault="00907911" w:rsidP="007D2E6B">
            <w:pPr>
              <w:jc w:val="right"/>
              <w:rPr>
                <w:rFonts w:ascii="Arial" w:hAnsi="Arial" w:cs="Arial"/>
                <w:color w:val="000000"/>
              </w:rPr>
            </w:pPr>
            <w:r w:rsidRPr="00907911">
              <w:rPr>
                <w:rFonts w:ascii="Arial" w:hAnsi="Arial" w:cs="Arial"/>
              </w:rPr>
              <w:t>£704.27</w:t>
            </w:r>
          </w:p>
        </w:tc>
        <w:tc>
          <w:tcPr>
            <w:tcW w:w="1559" w:type="dxa"/>
          </w:tcPr>
          <w:p w14:paraId="7BF422A1" w14:textId="77777777" w:rsidR="00907911" w:rsidRPr="00907911" w:rsidRDefault="00907911" w:rsidP="007D2E6B">
            <w:pPr>
              <w:jc w:val="right"/>
              <w:rPr>
                <w:rFonts w:ascii="Arial" w:hAnsi="Arial" w:cs="Arial"/>
                <w:color w:val="000000"/>
              </w:rPr>
            </w:pPr>
            <w:r w:rsidRPr="00907911">
              <w:rPr>
                <w:rFonts w:ascii="Arial" w:hAnsi="Arial" w:cs="Arial"/>
              </w:rPr>
              <w:t>£979.37</w:t>
            </w:r>
          </w:p>
        </w:tc>
        <w:tc>
          <w:tcPr>
            <w:tcW w:w="851" w:type="dxa"/>
          </w:tcPr>
          <w:p w14:paraId="5FE17020" w14:textId="77777777" w:rsidR="00907911" w:rsidRPr="00907911" w:rsidRDefault="00907911" w:rsidP="007D2E6B">
            <w:pPr>
              <w:jc w:val="right"/>
              <w:rPr>
                <w:rFonts w:ascii="Arial" w:hAnsi="Arial" w:cs="Arial"/>
                <w:color w:val="000000"/>
              </w:rPr>
            </w:pPr>
            <w:r w:rsidRPr="00907911">
              <w:rPr>
                <w:rFonts w:ascii="Arial" w:hAnsi="Arial" w:cs="Arial"/>
              </w:rPr>
              <w:t>3%</w:t>
            </w:r>
          </w:p>
        </w:tc>
        <w:tc>
          <w:tcPr>
            <w:tcW w:w="770" w:type="dxa"/>
          </w:tcPr>
          <w:p w14:paraId="66975C5B" w14:textId="77777777" w:rsidR="00907911" w:rsidRPr="00907911" w:rsidRDefault="00907911" w:rsidP="007D2E6B">
            <w:pPr>
              <w:jc w:val="right"/>
              <w:rPr>
                <w:rFonts w:ascii="Arial" w:hAnsi="Arial" w:cs="Arial"/>
                <w:color w:val="000000"/>
              </w:rPr>
            </w:pPr>
            <w:r w:rsidRPr="00907911">
              <w:rPr>
                <w:rFonts w:ascii="Arial" w:hAnsi="Arial" w:cs="Arial"/>
              </w:rPr>
              <w:t>3%</w:t>
            </w:r>
          </w:p>
        </w:tc>
      </w:tr>
      <w:tr w:rsidR="00907911" w:rsidRPr="00907911" w14:paraId="481C3385" w14:textId="77777777" w:rsidTr="007D2E6B">
        <w:trPr>
          <w:trHeight w:hRule="exact" w:val="284"/>
        </w:trPr>
        <w:tc>
          <w:tcPr>
            <w:tcW w:w="1526" w:type="dxa"/>
            <w:vAlign w:val="bottom"/>
          </w:tcPr>
          <w:p w14:paraId="54D6903F" w14:textId="77777777" w:rsidR="00907911" w:rsidRPr="00907911" w:rsidRDefault="00907911" w:rsidP="007D2E6B">
            <w:pPr>
              <w:rPr>
                <w:rFonts w:ascii="Arial" w:hAnsi="Arial" w:cs="Arial"/>
                <w:color w:val="000000"/>
              </w:rPr>
            </w:pPr>
            <w:r w:rsidRPr="00907911">
              <w:rPr>
                <w:rFonts w:ascii="Arial" w:hAnsi="Arial" w:cs="Arial"/>
                <w:color w:val="000000"/>
              </w:rPr>
              <w:t>LPA</w:t>
            </w:r>
          </w:p>
        </w:tc>
        <w:tc>
          <w:tcPr>
            <w:tcW w:w="1417" w:type="dxa"/>
          </w:tcPr>
          <w:p w14:paraId="4668B194" w14:textId="77777777" w:rsidR="00907911" w:rsidRPr="00907911" w:rsidRDefault="00907911" w:rsidP="007D2E6B">
            <w:pPr>
              <w:jc w:val="right"/>
              <w:rPr>
                <w:rFonts w:ascii="Arial" w:hAnsi="Arial" w:cs="Arial"/>
                <w:color w:val="000000"/>
              </w:rPr>
            </w:pPr>
            <w:r w:rsidRPr="00907911">
              <w:rPr>
                <w:rFonts w:ascii="Arial" w:hAnsi="Arial" w:cs="Arial"/>
              </w:rPr>
              <w:t>£1,202.34</w:t>
            </w:r>
          </w:p>
        </w:tc>
        <w:tc>
          <w:tcPr>
            <w:tcW w:w="1560" w:type="dxa"/>
          </w:tcPr>
          <w:p w14:paraId="39715BCC" w14:textId="77777777" w:rsidR="00907911" w:rsidRPr="00907911" w:rsidRDefault="00907911" w:rsidP="007D2E6B">
            <w:pPr>
              <w:jc w:val="right"/>
              <w:rPr>
                <w:rFonts w:ascii="Arial" w:hAnsi="Arial" w:cs="Arial"/>
                <w:color w:val="000000"/>
              </w:rPr>
            </w:pPr>
            <w:r w:rsidRPr="00907911">
              <w:rPr>
                <w:rFonts w:ascii="Arial" w:hAnsi="Arial" w:cs="Arial"/>
              </w:rPr>
              <w:t>£1,822.73</w:t>
            </w:r>
          </w:p>
        </w:tc>
        <w:tc>
          <w:tcPr>
            <w:tcW w:w="1559" w:type="dxa"/>
          </w:tcPr>
          <w:p w14:paraId="4CDB8391" w14:textId="77777777" w:rsidR="00907911" w:rsidRPr="00907911" w:rsidRDefault="00907911" w:rsidP="007D2E6B">
            <w:pPr>
              <w:jc w:val="right"/>
              <w:rPr>
                <w:rFonts w:ascii="Arial" w:hAnsi="Arial" w:cs="Arial"/>
                <w:color w:val="000000"/>
              </w:rPr>
            </w:pPr>
            <w:r w:rsidRPr="00907911">
              <w:rPr>
                <w:rFonts w:ascii="Arial" w:hAnsi="Arial" w:cs="Arial"/>
              </w:rPr>
              <w:t>£1,243.47</w:t>
            </w:r>
          </w:p>
        </w:tc>
        <w:tc>
          <w:tcPr>
            <w:tcW w:w="1559" w:type="dxa"/>
          </w:tcPr>
          <w:p w14:paraId="1C531F14" w14:textId="77777777" w:rsidR="00907911" w:rsidRPr="00907911" w:rsidRDefault="00907911" w:rsidP="007D2E6B">
            <w:pPr>
              <w:jc w:val="right"/>
              <w:rPr>
                <w:rFonts w:ascii="Arial" w:hAnsi="Arial" w:cs="Arial"/>
                <w:color w:val="000000"/>
              </w:rPr>
            </w:pPr>
            <w:r w:rsidRPr="00907911">
              <w:rPr>
                <w:rFonts w:ascii="Arial" w:hAnsi="Arial" w:cs="Arial"/>
              </w:rPr>
              <w:t>£1,881.72</w:t>
            </w:r>
          </w:p>
        </w:tc>
        <w:tc>
          <w:tcPr>
            <w:tcW w:w="851" w:type="dxa"/>
          </w:tcPr>
          <w:p w14:paraId="3BDC0E18" w14:textId="77777777" w:rsidR="00907911" w:rsidRPr="00907911" w:rsidRDefault="00907911" w:rsidP="007D2E6B">
            <w:pPr>
              <w:jc w:val="right"/>
              <w:rPr>
                <w:rFonts w:ascii="Arial" w:hAnsi="Arial" w:cs="Arial"/>
                <w:color w:val="000000"/>
              </w:rPr>
            </w:pPr>
            <w:r w:rsidRPr="00907911">
              <w:rPr>
                <w:rFonts w:ascii="Arial" w:hAnsi="Arial" w:cs="Arial"/>
              </w:rPr>
              <w:t>3%</w:t>
            </w:r>
          </w:p>
        </w:tc>
        <w:tc>
          <w:tcPr>
            <w:tcW w:w="770" w:type="dxa"/>
          </w:tcPr>
          <w:p w14:paraId="041581AB" w14:textId="77777777" w:rsidR="00907911" w:rsidRPr="00907911" w:rsidRDefault="00907911" w:rsidP="007D2E6B">
            <w:pPr>
              <w:jc w:val="right"/>
              <w:rPr>
                <w:rFonts w:ascii="Arial" w:hAnsi="Arial" w:cs="Arial"/>
                <w:color w:val="000000"/>
              </w:rPr>
            </w:pPr>
            <w:r w:rsidRPr="00907911">
              <w:rPr>
                <w:rFonts w:ascii="Arial" w:hAnsi="Arial" w:cs="Arial"/>
              </w:rPr>
              <w:t>3%</w:t>
            </w:r>
          </w:p>
        </w:tc>
      </w:tr>
      <w:tr w:rsidR="00907911" w:rsidRPr="00907911" w14:paraId="39B70F2B" w14:textId="77777777" w:rsidTr="007D2E6B">
        <w:trPr>
          <w:trHeight w:hRule="exact" w:val="284"/>
        </w:trPr>
        <w:tc>
          <w:tcPr>
            <w:tcW w:w="1526" w:type="dxa"/>
            <w:vAlign w:val="bottom"/>
          </w:tcPr>
          <w:p w14:paraId="7CF14A35" w14:textId="77777777" w:rsidR="00907911" w:rsidRPr="00907911" w:rsidRDefault="00907911" w:rsidP="007D2E6B">
            <w:pPr>
              <w:rPr>
                <w:rFonts w:ascii="Arial" w:hAnsi="Arial" w:cs="Arial"/>
                <w:color w:val="000000"/>
              </w:rPr>
            </w:pPr>
            <w:r w:rsidRPr="00907911">
              <w:rPr>
                <w:rFonts w:ascii="Arial" w:hAnsi="Arial" w:cs="Arial"/>
                <w:color w:val="000000"/>
              </w:rPr>
              <w:t>EAL</w:t>
            </w:r>
          </w:p>
        </w:tc>
        <w:tc>
          <w:tcPr>
            <w:tcW w:w="1417" w:type="dxa"/>
          </w:tcPr>
          <w:p w14:paraId="4FB8CBBD" w14:textId="77777777" w:rsidR="00907911" w:rsidRPr="00907911" w:rsidRDefault="00907911" w:rsidP="007D2E6B">
            <w:pPr>
              <w:jc w:val="right"/>
              <w:rPr>
                <w:rFonts w:ascii="Arial" w:hAnsi="Arial" w:cs="Arial"/>
                <w:color w:val="000000"/>
              </w:rPr>
            </w:pPr>
            <w:r w:rsidRPr="00907911">
              <w:rPr>
                <w:rFonts w:ascii="Arial" w:hAnsi="Arial" w:cs="Arial"/>
              </w:rPr>
              <w:t>£603.92</w:t>
            </w:r>
          </w:p>
        </w:tc>
        <w:tc>
          <w:tcPr>
            <w:tcW w:w="1560" w:type="dxa"/>
          </w:tcPr>
          <w:p w14:paraId="7F6CEE7E" w14:textId="77777777" w:rsidR="00907911" w:rsidRPr="00907911" w:rsidRDefault="00907911" w:rsidP="007D2E6B">
            <w:pPr>
              <w:jc w:val="right"/>
              <w:rPr>
                <w:rFonts w:ascii="Arial" w:hAnsi="Arial" w:cs="Arial"/>
                <w:color w:val="000000"/>
              </w:rPr>
            </w:pPr>
            <w:r w:rsidRPr="00907911">
              <w:rPr>
                <w:rFonts w:ascii="Arial" w:hAnsi="Arial" w:cs="Arial"/>
              </w:rPr>
              <w:t>£1,630.57</w:t>
            </w:r>
          </w:p>
        </w:tc>
        <w:tc>
          <w:tcPr>
            <w:tcW w:w="1559" w:type="dxa"/>
          </w:tcPr>
          <w:p w14:paraId="11065A01" w14:textId="77777777" w:rsidR="00907911" w:rsidRPr="00907911" w:rsidRDefault="00907911" w:rsidP="007D2E6B">
            <w:pPr>
              <w:jc w:val="right"/>
              <w:rPr>
                <w:rFonts w:ascii="Arial" w:hAnsi="Arial" w:cs="Arial"/>
                <w:color w:val="000000"/>
              </w:rPr>
            </w:pPr>
            <w:r w:rsidRPr="00907911">
              <w:rPr>
                <w:rFonts w:ascii="Arial" w:hAnsi="Arial" w:cs="Arial"/>
              </w:rPr>
              <w:t>£621.74</w:t>
            </w:r>
          </w:p>
        </w:tc>
        <w:tc>
          <w:tcPr>
            <w:tcW w:w="1559" w:type="dxa"/>
          </w:tcPr>
          <w:p w14:paraId="3BB78027" w14:textId="77777777" w:rsidR="00907911" w:rsidRPr="00907911" w:rsidRDefault="00907911" w:rsidP="007D2E6B">
            <w:pPr>
              <w:jc w:val="right"/>
              <w:rPr>
                <w:rFonts w:ascii="Arial" w:hAnsi="Arial" w:cs="Arial"/>
                <w:color w:val="000000"/>
              </w:rPr>
            </w:pPr>
            <w:r w:rsidRPr="00907911">
              <w:rPr>
                <w:rFonts w:ascii="Arial" w:hAnsi="Arial" w:cs="Arial"/>
              </w:rPr>
              <w:t>£1,683.64</w:t>
            </w:r>
          </w:p>
        </w:tc>
        <w:tc>
          <w:tcPr>
            <w:tcW w:w="851" w:type="dxa"/>
          </w:tcPr>
          <w:p w14:paraId="09BC1CF5" w14:textId="77777777" w:rsidR="00907911" w:rsidRPr="00907911" w:rsidRDefault="00907911" w:rsidP="007D2E6B">
            <w:pPr>
              <w:jc w:val="right"/>
              <w:rPr>
                <w:rFonts w:ascii="Arial" w:hAnsi="Arial" w:cs="Arial"/>
                <w:color w:val="000000"/>
              </w:rPr>
            </w:pPr>
            <w:r w:rsidRPr="00907911">
              <w:rPr>
                <w:rFonts w:ascii="Arial" w:hAnsi="Arial" w:cs="Arial"/>
              </w:rPr>
              <w:t>3%</w:t>
            </w:r>
          </w:p>
        </w:tc>
        <w:tc>
          <w:tcPr>
            <w:tcW w:w="770" w:type="dxa"/>
          </w:tcPr>
          <w:p w14:paraId="10AF8CBE" w14:textId="77777777" w:rsidR="00907911" w:rsidRPr="00907911" w:rsidRDefault="00907911" w:rsidP="007D2E6B">
            <w:pPr>
              <w:jc w:val="right"/>
              <w:rPr>
                <w:rFonts w:ascii="Arial" w:hAnsi="Arial" w:cs="Arial"/>
                <w:color w:val="000000"/>
              </w:rPr>
            </w:pPr>
            <w:r w:rsidRPr="00907911">
              <w:rPr>
                <w:rFonts w:ascii="Arial" w:hAnsi="Arial" w:cs="Arial"/>
              </w:rPr>
              <w:t>3%</w:t>
            </w:r>
          </w:p>
        </w:tc>
      </w:tr>
      <w:tr w:rsidR="00907911" w:rsidRPr="00907911" w14:paraId="1E791473" w14:textId="77777777" w:rsidTr="007D2E6B">
        <w:trPr>
          <w:trHeight w:hRule="exact" w:val="284"/>
        </w:trPr>
        <w:tc>
          <w:tcPr>
            <w:tcW w:w="1526" w:type="dxa"/>
            <w:vAlign w:val="bottom"/>
          </w:tcPr>
          <w:p w14:paraId="3ECDBCAA" w14:textId="77777777" w:rsidR="00907911" w:rsidRPr="00907911" w:rsidRDefault="00907911" w:rsidP="007D2E6B">
            <w:pPr>
              <w:rPr>
                <w:rFonts w:ascii="Arial" w:hAnsi="Arial" w:cs="Arial"/>
                <w:color w:val="000000"/>
              </w:rPr>
            </w:pPr>
            <w:r w:rsidRPr="00907911">
              <w:rPr>
                <w:rFonts w:ascii="Arial" w:hAnsi="Arial" w:cs="Arial"/>
                <w:color w:val="000000"/>
              </w:rPr>
              <w:t>Mobility</w:t>
            </w:r>
          </w:p>
        </w:tc>
        <w:tc>
          <w:tcPr>
            <w:tcW w:w="1417" w:type="dxa"/>
          </w:tcPr>
          <w:p w14:paraId="75CB89A4" w14:textId="77777777" w:rsidR="00907911" w:rsidRPr="00907911" w:rsidRDefault="00907911" w:rsidP="007D2E6B">
            <w:pPr>
              <w:jc w:val="right"/>
              <w:rPr>
                <w:rFonts w:ascii="Arial" w:hAnsi="Arial" w:cs="Arial"/>
                <w:color w:val="000000"/>
              </w:rPr>
            </w:pPr>
            <w:r w:rsidRPr="00907911">
              <w:rPr>
                <w:rFonts w:ascii="Arial" w:hAnsi="Arial" w:cs="Arial"/>
              </w:rPr>
              <w:t>£988.23</w:t>
            </w:r>
          </w:p>
        </w:tc>
        <w:tc>
          <w:tcPr>
            <w:tcW w:w="1560" w:type="dxa"/>
          </w:tcPr>
          <w:p w14:paraId="1C6C4826" w14:textId="77777777" w:rsidR="00907911" w:rsidRPr="00907911" w:rsidRDefault="00907911" w:rsidP="007D2E6B">
            <w:pPr>
              <w:jc w:val="right"/>
              <w:rPr>
                <w:rFonts w:ascii="Arial" w:hAnsi="Arial" w:cs="Arial"/>
                <w:color w:val="000000"/>
              </w:rPr>
            </w:pPr>
            <w:r w:rsidRPr="00907911">
              <w:rPr>
                <w:rFonts w:ascii="Arial" w:hAnsi="Arial" w:cs="Arial"/>
              </w:rPr>
              <w:t>£1,416.46</w:t>
            </w:r>
          </w:p>
        </w:tc>
        <w:tc>
          <w:tcPr>
            <w:tcW w:w="1559" w:type="dxa"/>
          </w:tcPr>
          <w:p w14:paraId="01189F1E" w14:textId="77777777" w:rsidR="00907911" w:rsidRPr="00907911" w:rsidRDefault="00907911" w:rsidP="007D2E6B">
            <w:pPr>
              <w:jc w:val="right"/>
              <w:rPr>
                <w:rFonts w:ascii="Arial" w:hAnsi="Arial" w:cs="Arial"/>
                <w:color w:val="000000"/>
              </w:rPr>
            </w:pPr>
            <w:r w:rsidRPr="00907911">
              <w:rPr>
                <w:rFonts w:ascii="Arial" w:hAnsi="Arial" w:cs="Arial"/>
              </w:rPr>
              <w:t>£1,017.89</w:t>
            </w:r>
          </w:p>
        </w:tc>
        <w:tc>
          <w:tcPr>
            <w:tcW w:w="1559" w:type="dxa"/>
          </w:tcPr>
          <w:p w14:paraId="289CF60D" w14:textId="77777777" w:rsidR="00907911" w:rsidRPr="00907911" w:rsidRDefault="00907911" w:rsidP="007D2E6B">
            <w:pPr>
              <w:jc w:val="right"/>
              <w:rPr>
                <w:rFonts w:ascii="Arial" w:hAnsi="Arial" w:cs="Arial"/>
                <w:color w:val="000000"/>
              </w:rPr>
            </w:pPr>
            <w:r w:rsidRPr="00907911">
              <w:rPr>
                <w:rFonts w:ascii="Arial" w:hAnsi="Arial" w:cs="Arial"/>
              </w:rPr>
              <w:t>£1,463.56</w:t>
            </w:r>
          </w:p>
        </w:tc>
        <w:tc>
          <w:tcPr>
            <w:tcW w:w="851" w:type="dxa"/>
          </w:tcPr>
          <w:p w14:paraId="28981463" w14:textId="77777777" w:rsidR="00907911" w:rsidRPr="00907911" w:rsidRDefault="00907911" w:rsidP="007D2E6B">
            <w:pPr>
              <w:jc w:val="right"/>
              <w:rPr>
                <w:rFonts w:ascii="Arial" w:hAnsi="Arial" w:cs="Arial"/>
                <w:color w:val="000000"/>
              </w:rPr>
            </w:pPr>
            <w:r w:rsidRPr="00907911">
              <w:rPr>
                <w:rFonts w:ascii="Arial" w:hAnsi="Arial" w:cs="Arial"/>
              </w:rPr>
              <w:t>3%</w:t>
            </w:r>
          </w:p>
        </w:tc>
        <w:tc>
          <w:tcPr>
            <w:tcW w:w="770" w:type="dxa"/>
          </w:tcPr>
          <w:p w14:paraId="6D52D9C4" w14:textId="77777777" w:rsidR="00907911" w:rsidRPr="00907911" w:rsidRDefault="00907911" w:rsidP="007D2E6B">
            <w:pPr>
              <w:jc w:val="right"/>
              <w:rPr>
                <w:rFonts w:ascii="Arial" w:hAnsi="Arial" w:cs="Arial"/>
                <w:color w:val="000000"/>
              </w:rPr>
            </w:pPr>
            <w:r w:rsidRPr="00907911">
              <w:rPr>
                <w:rFonts w:ascii="Arial" w:hAnsi="Arial" w:cs="Arial"/>
              </w:rPr>
              <w:t>3%</w:t>
            </w:r>
          </w:p>
        </w:tc>
      </w:tr>
      <w:tr w:rsidR="00907911" w:rsidRPr="00907911" w14:paraId="489EAFA3" w14:textId="77777777" w:rsidTr="007D2E6B">
        <w:trPr>
          <w:trHeight w:hRule="exact" w:val="284"/>
        </w:trPr>
        <w:tc>
          <w:tcPr>
            <w:tcW w:w="1526" w:type="dxa"/>
            <w:vAlign w:val="bottom"/>
          </w:tcPr>
          <w:p w14:paraId="261252BA" w14:textId="77777777" w:rsidR="00907911" w:rsidRPr="00907911" w:rsidRDefault="00907911" w:rsidP="007D2E6B">
            <w:pPr>
              <w:rPr>
                <w:rFonts w:ascii="Arial" w:hAnsi="Arial" w:cs="Arial"/>
                <w:color w:val="000000"/>
              </w:rPr>
            </w:pPr>
            <w:r w:rsidRPr="00907911">
              <w:rPr>
                <w:rFonts w:ascii="Arial" w:hAnsi="Arial" w:cs="Arial"/>
                <w:color w:val="000000"/>
              </w:rPr>
              <w:t>Lump Sum</w:t>
            </w:r>
          </w:p>
        </w:tc>
        <w:tc>
          <w:tcPr>
            <w:tcW w:w="1417" w:type="dxa"/>
          </w:tcPr>
          <w:p w14:paraId="27FC5FF8" w14:textId="77777777" w:rsidR="00907911" w:rsidRPr="00907911" w:rsidRDefault="00907911" w:rsidP="007D2E6B">
            <w:pPr>
              <w:jc w:val="right"/>
              <w:rPr>
                <w:rFonts w:ascii="Arial" w:hAnsi="Arial" w:cs="Arial"/>
                <w:color w:val="000000"/>
              </w:rPr>
            </w:pPr>
            <w:r w:rsidRPr="00907911">
              <w:rPr>
                <w:rFonts w:ascii="Arial" w:hAnsi="Arial" w:cs="Arial"/>
              </w:rPr>
              <w:t>£129,347.93</w:t>
            </w:r>
          </w:p>
        </w:tc>
        <w:tc>
          <w:tcPr>
            <w:tcW w:w="1560" w:type="dxa"/>
          </w:tcPr>
          <w:p w14:paraId="17FA81FE" w14:textId="77777777" w:rsidR="00907911" w:rsidRPr="00907911" w:rsidRDefault="00907911" w:rsidP="007D2E6B">
            <w:pPr>
              <w:jc w:val="right"/>
              <w:rPr>
                <w:rFonts w:ascii="Arial" w:hAnsi="Arial" w:cs="Arial"/>
                <w:color w:val="000000"/>
              </w:rPr>
            </w:pPr>
            <w:r w:rsidRPr="00907911">
              <w:rPr>
                <w:rFonts w:ascii="Arial" w:hAnsi="Arial" w:cs="Arial"/>
              </w:rPr>
              <w:t>£129,347.93</w:t>
            </w:r>
          </w:p>
        </w:tc>
        <w:tc>
          <w:tcPr>
            <w:tcW w:w="1559" w:type="dxa"/>
          </w:tcPr>
          <w:p w14:paraId="00599909" w14:textId="77777777" w:rsidR="00907911" w:rsidRPr="00907911" w:rsidRDefault="00907911" w:rsidP="007D2E6B">
            <w:pPr>
              <w:jc w:val="right"/>
              <w:rPr>
                <w:rFonts w:ascii="Arial" w:hAnsi="Arial" w:cs="Arial"/>
                <w:color w:val="000000"/>
              </w:rPr>
            </w:pPr>
            <w:r w:rsidRPr="00907911">
              <w:rPr>
                <w:rFonts w:ascii="Arial" w:hAnsi="Arial" w:cs="Arial"/>
              </w:rPr>
              <w:t>£133,480.95</w:t>
            </w:r>
          </w:p>
        </w:tc>
        <w:tc>
          <w:tcPr>
            <w:tcW w:w="1559" w:type="dxa"/>
          </w:tcPr>
          <w:p w14:paraId="0850A4BF" w14:textId="77777777" w:rsidR="00907911" w:rsidRPr="00907911" w:rsidRDefault="00907911" w:rsidP="007D2E6B">
            <w:pPr>
              <w:jc w:val="right"/>
              <w:rPr>
                <w:rFonts w:ascii="Arial" w:hAnsi="Arial" w:cs="Arial"/>
                <w:color w:val="000000"/>
              </w:rPr>
            </w:pPr>
            <w:r w:rsidRPr="00907911">
              <w:rPr>
                <w:rFonts w:ascii="Arial" w:hAnsi="Arial" w:cs="Arial"/>
              </w:rPr>
              <w:t>£133,480.95</w:t>
            </w:r>
          </w:p>
        </w:tc>
        <w:tc>
          <w:tcPr>
            <w:tcW w:w="851" w:type="dxa"/>
          </w:tcPr>
          <w:p w14:paraId="18CCE8E4" w14:textId="77777777" w:rsidR="00907911" w:rsidRPr="00907911" w:rsidRDefault="00907911" w:rsidP="007D2E6B">
            <w:pPr>
              <w:jc w:val="right"/>
              <w:rPr>
                <w:rFonts w:ascii="Arial" w:hAnsi="Arial" w:cs="Arial"/>
                <w:color w:val="000000"/>
              </w:rPr>
            </w:pPr>
            <w:r w:rsidRPr="00907911">
              <w:rPr>
                <w:rFonts w:ascii="Arial" w:hAnsi="Arial" w:cs="Arial"/>
              </w:rPr>
              <w:t>3%</w:t>
            </w:r>
          </w:p>
        </w:tc>
        <w:tc>
          <w:tcPr>
            <w:tcW w:w="770" w:type="dxa"/>
          </w:tcPr>
          <w:p w14:paraId="080F28D9" w14:textId="77777777" w:rsidR="00907911" w:rsidRPr="00907911" w:rsidRDefault="00907911" w:rsidP="007D2E6B">
            <w:pPr>
              <w:jc w:val="right"/>
              <w:rPr>
                <w:rFonts w:ascii="Arial" w:hAnsi="Arial" w:cs="Arial"/>
                <w:color w:val="000000"/>
              </w:rPr>
            </w:pPr>
            <w:r w:rsidRPr="00907911">
              <w:rPr>
                <w:rFonts w:ascii="Arial" w:hAnsi="Arial" w:cs="Arial"/>
              </w:rPr>
              <w:t>3%</w:t>
            </w:r>
          </w:p>
        </w:tc>
      </w:tr>
    </w:tbl>
    <w:p w14:paraId="34B51511" w14:textId="77777777" w:rsidR="00146DC3" w:rsidRPr="00146DC3" w:rsidRDefault="00146DC3" w:rsidP="00146DC3">
      <w:pPr>
        <w:pStyle w:val="ListParagraph"/>
        <w:spacing w:after="0" w:line="240" w:lineRule="auto"/>
        <w:rPr>
          <w:rFonts w:ascii="Arial" w:hAnsi="Arial" w:cs="Arial"/>
        </w:rPr>
      </w:pPr>
    </w:p>
    <w:p w14:paraId="71CB5BD5" w14:textId="47020CE2" w:rsidR="00146DC3" w:rsidRPr="00146DC3" w:rsidRDefault="00146DC3" w:rsidP="00146DC3">
      <w:pPr>
        <w:pStyle w:val="ListParagraph"/>
        <w:numPr>
          <w:ilvl w:val="0"/>
          <w:numId w:val="1"/>
        </w:numPr>
        <w:spacing w:after="0" w:line="240" w:lineRule="auto"/>
        <w:rPr>
          <w:rFonts w:ascii="Arial" w:hAnsi="Arial" w:cs="Arial"/>
        </w:rPr>
      </w:pPr>
      <w:r w:rsidRPr="00146DC3">
        <w:rPr>
          <w:rFonts w:ascii="Arial" w:hAnsi="Arial" w:cs="Arial"/>
        </w:rPr>
        <w:t>The Minimum Per-Pupil Funding Levels (MPPL) will be set at £4,265 for primary schools and £5,525 for secondary schools compared with £4,180 and £5,415 in 2021-22.</w:t>
      </w:r>
    </w:p>
    <w:p w14:paraId="062A0CB4" w14:textId="77777777" w:rsidR="00146DC3" w:rsidRPr="00146DC3" w:rsidRDefault="00146DC3" w:rsidP="00146DC3">
      <w:pPr>
        <w:pStyle w:val="ListParagraph"/>
        <w:spacing w:after="0" w:line="240" w:lineRule="auto"/>
        <w:rPr>
          <w:rFonts w:ascii="Arial" w:hAnsi="Arial" w:cs="Arial"/>
        </w:rPr>
      </w:pPr>
    </w:p>
    <w:p w14:paraId="17D96354" w14:textId="218F011A" w:rsidR="00146DC3" w:rsidRPr="00146DC3" w:rsidRDefault="00146DC3" w:rsidP="00146DC3">
      <w:pPr>
        <w:pStyle w:val="ListParagraph"/>
        <w:numPr>
          <w:ilvl w:val="0"/>
          <w:numId w:val="1"/>
        </w:numPr>
        <w:spacing w:after="0" w:line="240" w:lineRule="auto"/>
        <w:rPr>
          <w:rFonts w:ascii="Arial" w:hAnsi="Arial" w:cs="Arial"/>
        </w:rPr>
      </w:pPr>
      <w:r w:rsidRPr="00146DC3">
        <w:rPr>
          <w:rFonts w:ascii="Arial" w:hAnsi="Arial" w:cs="Arial"/>
        </w:rPr>
        <w:t>NFF Factor values have increased by:</w:t>
      </w:r>
    </w:p>
    <w:p w14:paraId="09C4590C" w14:textId="77777777" w:rsidR="00146DC3" w:rsidRPr="00146DC3" w:rsidRDefault="00146DC3" w:rsidP="00146DC3">
      <w:pPr>
        <w:spacing w:after="0" w:line="240" w:lineRule="auto"/>
        <w:ind w:left="1440"/>
        <w:rPr>
          <w:rFonts w:ascii="Arial" w:hAnsi="Arial" w:cs="Arial"/>
        </w:rPr>
      </w:pPr>
    </w:p>
    <w:p w14:paraId="4C98D86E" w14:textId="77777777" w:rsidR="00146DC3" w:rsidRPr="00146DC3" w:rsidRDefault="00146DC3" w:rsidP="00146DC3">
      <w:pPr>
        <w:numPr>
          <w:ilvl w:val="1"/>
          <w:numId w:val="1"/>
        </w:numPr>
        <w:spacing w:after="0" w:line="240" w:lineRule="auto"/>
        <w:rPr>
          <w:rFonts w:ascii="Arial" w:hAnsi="Arial" w:cs="Arial"/>
        </w:rPr>
      </w:pPr>
      <w:r w:rsidRPr="00146DC3">
        <w:rPr>
          <w:rFonts w:ascii="Arial" w:hAnsi="Arial" w:cs="Arial"/>
        </w:rPr>
        <w:t>3% to basic entitlement, FSM6, IDACI, low prior attainment, EAL and the lump sum</w:t>
      </w:r>
    </w:p>
    <w:p w14:paraId="1EB3E135" w14:textId="77777777" w:rsidR="00146DC3" w:rsidRPr="00146DC3" w:rsidRDefault="00146DC3" w:rsidP="00146DC3">
      <w:pPr>
        <w:numPr>
          <w:ilvl w:val="1"/>
          <w:numId w:val="1"/>
        </w:numPr>
        <w:spacing w:after="0" w:line="240" w:lineRule="auto"/>
        <w:rPr>
          <w:rFonts w:ascii="Arial" w:hAnsi="Arial" w:cs="Arial"/>
        </w:rPr>
      </w:pPr>
      <w:r w:rsidRPr="00146DC3">
        <w:rPr>
          <w:rFonts w:ascii="Arial" w:hAnsi="Arial" w:cs="Arial"/>
        </w:rPr>
        <w:t>2% to the floor, the MPPL and FSM</w:t>
      </w:r>
    </w:p>
    <w:p w14:paraId="75D381A5" w14:textId="77777777" w:rsidR="00146DC3" w:rsidRPr="00146DC3" w:rsidRDefault="00146DC3" w:rsidP="00146DC3">
      <w:pPr>
        <w:numPr>
          <w:ilvl w:val="1"/>
          <w:numId w:val="1"/>
        </w:numPr>
        <w:spacing w:after="0" w:line="240" w:lineRule="auto"/>
        <w:rPr>
          <w:rFonts w:ascii="Arial" w:hAnsi="Arial" w:cs="Arial"/>
        </w:rPr>
      </w:pPr>
      <w:r w:rsidRPr="00146DC3">
        <w:rPr>
          <w:rFonts w:ascii="Arial" w:hAnsi="Arial" w:cs="Arial"/>
        </w:rPr>
        <w:t>0% on the premises factor</w:t>
      </w:r>
    </w:p>
    <w:p w14:paraId="4E219D83" w14:textId="77777777" w:rsidR="00146DC3" w:rsidRPr="00146DC3" w:rsidRDefault="00146DC3" w:rsidP="00146DC3">
      <w:pPr>
        <w:spacing w:after="0" w:line="240" w:lineRule="auto"/>
        <w:rPr>
          <w:rFonts w:ascii="Arial" w:hAnsi="Arial" w:cs="Arial"/>
        </w:rPr>
      </w:pPr>
    </w:p>
    <w:p w14:paraId="15C6B2A2" w14:textId="77777777" w:rsidR="00146DC3" w:rsidRPr="00146DC3" w:rsidRDefault="00146DC3" w:rsidP="00146DC3">
      <w:pPr>
        <w:numPr>
          <w:ilvl w:val="0"/>
          <w:numId w:val="1"/>
        </w:numPr>
        <w:spacing w:after="0" w:line="240" w:lineRule="auto"/>
        <w:ind w:left="709" w:hanging="425"/>
        <w:rPr>
          <w:rFonts w:ascii="Arial" w:hAnsi="Arial" w:cs="Arial"/>
        </w:rPr>
      </w:pPr>
      <w:r w:rsidRPr="00146DC3">
        <w:rPr>
          <w:rFonts w:ascii="Arial" w:hAnsi="Arial" w:cs="Arial"/>
        </w:rPr>
        <w:t>Free School Meals (FSM) – data on pupils who have been eligible for FMS6 is now taken from the October 2020 school census instead of the January 2020 census, to make the factor more up to date and bring it in line with arrangements for other NFF factors as well as the pupil premium</w:t>
      </w:r>
    </w:p>
    <w:p w14:paraId="02BFB8B6" w14:textId="77777777" w:rsidR="00146DC3" w:rsidRPr="00146DC3" w:rsidRDefault="00146DC3" w:rsidP="00146DC3">
      <w:pPr>
        <w:spacing w:after="0" w:line="240" w:lineRule="auto"/>
        <w:ind w:left="709" w:hanging="425"/>
        <w:rPr>
          <w:rFonts w:ascii="Arial" w:hAnsi="Arial" w:cs="Arial"/>
        </w:rPr>
      </w:pPr>
    </w:p>
    <w:p w14:paraId="101DD904" w14:textId="77777777" w:rsidR="00146DC3" w:rsidRPr="00146DC3" w:rsidRDefault="00146DC3" w:rsidP="00146DC3">
      <w:pPr>
        <w:numPr>
          <w:ilvl w:val="0"/>
          <w:numId w:val="1"/>
        </w:numPr>
        <w:spacing w:after="0" w:line="240" w:lineRule="auto"/>
        <w:ind w:left="709" w:hanging="425"/>
        <w:rPr>
          <w:rFonts w:ascii="Arial" w:hAnsi="Arial" w:cs="Arial"/>
        </w:rPr>
      </w:pPr>
      <w:r w:rsidRPr="00146DC3">
        <w:rPr>
          <w:rFonts w:ascii="Arial" w:hAnsi="Arial" w:cs="Arial"/>
        </w:rPr>
        <w:t>Low Prior Attainment – data from the 2019 Early Years Foundation Stage Profile (EYFSP) and KS2 tests is used as a proxy for the 2020 tests, following the cancellation of assessment due to Covid-19</w:t>
      </w:r>
    </w:p>
    <w:p w14:paraId="641B1916" w14:textId="77777777" w:rsidR="00146DC3" w:rsidRPr="00146DC3" w:rsidRDefault="00146DC3" w:rsidP="00146DC3">
      <w:pPr>
        <w:spacing w:after="0" w:line="240" w:lineRule="auto"/>
        <w:ind w:left="709" w:hanging="425"/>
        <w:rPr>
          <w:rFonts w:ascii="Arial" w:hAnsi="Arial" w:cs="Arial"/>
        </w:rPr>
      </w:pPr>
    </w:p>
    <w:p w14:paraId="7E9E5F65" w14:textId="77777777" w:rsidR="00146DC3" w:rsidRPr="00146DC3" w:rsidRDefault="00146DC3" w:rsidP="00146DC3">
      <w:pPr>
        <w:numPr>
          <w:ilvl w:val="0"/>
          <w:numId w:val="1"/>
        </w:numPr>
        <w:spacing w:after="0" w:line="240" w:lineRule="auto"/>
        <w:ind w:left="709" w:hanging="425"/>
        <w:rPr>
          <w:rFonts w:ascii="Arial" w:hAnsi="Arial" w:cs="Arial"/>
        </w:rPr>
      </w:pPr>
      <w:r w:rsidRPr="00146DC3">
        <w:rPr>
          <w:rFonts w:ascii="Arial" w:hAnsi="Arial" w:cs="Arial"/>
        </w:rPr>
        <w:t>Mobility – pupils who joined a school between January 2020 and May 2020 attract funding for mobility based on their entry date, rather than by virtue of the May school census being their first census at the current school as the May 2020 census did not take place due to Covid-19</w:t>
      </w:r>
    </w:p>
    <w:p w14:paraId="1CBE8FF1" w14:textId="77777777" w:rsidR="00146DC3" w:rsidRPr="00146DC3" w:rsidRDefault="00146DC3" w:rsidP="00146DC3">
      <w:pPr>
        <w:spacing w:after="0" w:line="240" w:lineRule="auto"/>
        <w:ind w:left="709" w:hanging="425"/>
        <w:rPr>
          <w:rFonts w:ascii="Arial" w:hAnsi="Arial" w:cs="Arial"/>
        </w:rPr>
      </w:pPr>
    </w:p>
    <w:p w14:paraId="55A4D9E8" w14:textId="77777777" w:rsidR="00146DC3" w:rsidRPr="00146DC3" w:rsidRDefault="00146DC3" w:rsidP="00146DC3">
      <w:pPr>
        <w:numPr>
          <w:ilvl w:val="0"/>
          <w:numId w:val="1"/>
        </w:numPr>
        <w:spacing w:after="0" w:line="240" w:lineRule="auto"/>
        <w:ind w:left="709" w:hanging="425"/>
        <w:rPr>
          <w:rFonts w:ascii="Arial" w:hAnsi="Arial" w:cs="Arial"/>
        </w:rPr>
      </w:pPr>
      <w:r w:rsidRPr="00146DC3">
        <w:rPr>
          <w:rFonts w:ascii="Arial" w:hAnsi="Arial" w:cs="Arial"/>
        </w:rPr>
        <w:t>Rates – school business rates will be paid by the ESFA to LAs directly on behalf of all state funded schools from 2022-23. Further details will be issued separately within the formal consultation response.</w:t>
      </w:r>
    </w:p>
    <w:p w14:paraId="30486C74" w14:textId="77777777" w:rsidR="00146DC3" w:rsidRPr="00146DC3" w:rsidRDefault="00146DC3" w:rsidP="00146DC3">
      <w:pPr>
        <w:spacing w:after="0" w:line="240" w:lineRule="auto"/>
        <w:ind w:left="709" w:hanging="425"/>
        <w:rPr>
          <w:rFonts w:ascii="Arial" w:hAnsi="Arial" w:cs="Arial"/>
        </w:rPr>
      </w:pPr>
    </w:p>
    <w:p w14:paraId="65756971" w14:textId="77777777" w:rsidR="00146DC3" w:rsidRPr="00146DC3" w:rsidRDefault="00146DC3" w:rsidP="00146DC3">
      <w:pPr>
        <w:numPr>
          <w:ilvl w:val="0"/>
          <w:numId w:val="1"/>
        </w:numPr>
        <w:spacing w:after="0" w:line="240" w:lineRule="auto"/>
        <w:ind w:left="709" w:hanging="425"/>
        <w:rPr>
          <w:rFonts w:ascii="Arial" w:hAnsi="Arial" w:cs="Arial"/>
        </w:rPr>
      </w:pPr>
      <w:r w:rsidRPr="00146DC3">
        <w:rPr>
          <w:rFonts w:ascii="Arial" w:hAnsi="Arial" w:cs="Arial"/>
        </w:rPr>
        <w:lastRenderedPageBreak/>
        <w:t>Teachers Pay Grant (TPG) and Teachers Pension Employers Contribution Grant (TPECG) are now fully rolled into the NFF. No separate adjustments are needed to local formulae beyond what was already done in 2021-22 to account for these grants in 2022-23.</w:t>
      </w:r>
    </w:p>
    <w:p w14:paraId="645B02F1" w14:textId="77777777" w:rsidR="00146DC3" w:rsidRPr="00146DC3" w:rsidRDefault="00146DC3" w:rsidP="00146DC3">
      <w:pPr>
        <w:spacing w:after="0" w:line="240" w:lineRule="auto"/>
        <w:ind w:left="709" w:hanging="425"/>
        <w:rPr>
          <w:rFonts w:ascii="Arial" w:hAnsi="Arial" w:cs="Arial"/>
        </w:rPr>
      </w:pPr>
    </w:p>
    <w:p w14:paraId="377E0A08" w14:textId="77777777" w:rsidR="00146DC3" w:rsidRPr="00146DC3" w:rsidRDefault="00146DC3" w:rsidP="00146DC3">
      <w:pPr>
        <w:numPr>
          <w:ilvl w:val="0"/>
          <w:numId w:val="1"/>
        </w:numPr>
        <w:spacing w:after="0" w:line="240" w:lineRule="auto"/>
        <w:ind w:left="709" w:hanging="425"/>
        <w:rPr>
          <w:rFonts w:ascii="Arial" w:hAnsi="Arial" w:cs="Arial"/>
        </w:rPr>
      </w:pPr>
      <w:r w:rsidRPr="00146DC3">
        <w:rPr>
          <w:rFonts w:ascii="Arial" w:hAnsi="Arial" w:cs="Arial"/>
        </w:rPr>
        <w:t xml:space="preserve">Block transfers – LAs will continue to be able to transfer up to +0.5% of the </w:t>
      </w:r>
      <w:proofErr w:type="gramStart"/>
      <w:r w:rsidRPr="00146DC3">
        <w:rPr>
          <w:rFonts w:ascii="Arial" w:hAnsi="Arial" w:cs="Arial"/>
        </w:rPr>
        <w:t>schools</w:t>
      </w:r>
      <w:proofErr w:type="gramEnd"/>
      <w:r w:rsidRPr="00146DC3">
        <w:rPr>
          <w:rFonts w:ascii="Arial" w:hAnsi="Arial" w:cs="Arial"/>
        </w:rPr>
        <w:t xml:space="preserve"> block to other blocks of the DSG, with schools forum approval. A disapplication is required for transfers above 0.5% or for any amount where </w:t>
      </w:r>
      <w:proofErr w:type="gramStart"/>
      <w:r w:rsidRPr="00146DC3">
        <w:rPr>
          <w:rFonts w:ascii="Arial" w:hAnsi="Arial" w:cs="Arial"/>
        </w:rPr>
        <w:t>schools</w:t>
      </w:r>
      <w:proofErr w:type="gramEnd"/>
      <w:r w:rsidRPr="00146DC3">
        <w:rPr>
          <w:rFonts w:ascii="Arial" w:hAnsi="Arial" w:cs="Arial"/>
        </w:rPr>
        <w:t xml:space="preserve"> forum does not give approval.</w:t>
      </w:r>
    </w:p>
    <w:p w14:paraId="028903B7" w14:textId="7953A886" w:rsidR="00CD6213" w:rsidRPr="00146DC3" w:rsidRDefault="00CD6213" w:rsidP="00146DC3">
      <w:pPr>
        <w:pStyle w:val="ListParagraph"/>
        <w:numPr>
          <w:ilvl w:val="0"/>
          <w:numId w:val="1"/>
        </w:numPr>
        <w:rPr>
          <w:rFonts w:ascii="Arial" w:hAnsi="Arial" w:cs="Arial"/>
          <w:bCs/>
        </w:rPr>
      </w:pPr>
    </w:p>
    <w:p w14:paraId="5D603C0D" w14:textId="77777777" w:rsidR="00CD6213" w:rsidRPr="00146DC3" w:rsidRDefault="00CD6213" w:rsidP="00CD6213">
      <w:pPr>
        <w:ind w:left="360"/>
        <w:rPr>
          <w:rFonts w:ascii="Arial" w:hAnsi="Arial" w:cs="Arial"/>
          <w:b/>
        </w:rPr>
      </w:pPr>
      <w:r w:rsidRPr="00146DC3">
        <w:rPr>
          <w:rFonts w:ascii="Arial" w:hAnsi="Arial" w:cs="Arial"/>
          <w:b/>
        </w:rPr>
        <w:t>Minimum Funding Guarantee (MFG)</w:t>
      </w:r>
    </w:p>
    <w:p w14:paraId="4FEC9DE2" w14:textId="77777777" w:rsidR="00CD6213" w:rsidRDefault="00CD6213" w:rsidP="00CD6213">
      <w:pPr>
        <w:pStyle w:val="ListParagraph"/>
        <w:numPr>
          <w:ilvl w:val="0"/>
          <w:numId w:val="1"/>
        </w:numPr>
        <w:rPr>
          <w:rFonts w:ascii="Arial" w:hAnsi="Arial" w:cs="Arial"/>
          <w:bCs/>
        </w:rPr>
      </w:pPr>
      <w:r>
        <w:rPr>
          <w:rFonts w:ascii="Arial" w:hAnsi="Arial" w:cs="Arial"/>
          <w:bCs/>
        </w:rPr>
        <w:t xml:space="preserve">The MFG will continue and the allowable range for 2021-22 is between +0.5% and +2%. </w:t>
      </w:r>
    </w:p>
    <w:p w14:paraId="4371CBCE" w14:textId="77777777" w:rsidR="00CD6213" w:rsidRDefault="00CD6213" w:rsidP="00CD6213">
      <w:pPr>
        <w:pStyle w:val="ListParagraph"/>
        <w:rPr>
          <w:rFonts w:ascii="Arial" w:hAnsi="Arial" w:cs="Arial"/>
          <w:bCs/>
        </w:rPr>
      </w:pPr>
    </w:p>
    <w:p w14:paraId="7FA47C78" w14:textId="77777777" w:rsidR="00CD6213" w:rsidRDefault="00CD6213" w:rsidP="00CD6213">
      <w:pPr>
        <w:pStyle w:val="ListParagraph"/>
        <w:numPr>
          <w:ilvl w:val="0"/>
          <w:numId w:val="1"/>
        </w:numPr>
        <w:rPr>
          <w:rFonts w:ascii="Arial" w:hAnsi="Arial" w:cs="Arial"/>
          <w:bCs/>
        </w:rPr>
      </w:pPr>
      <w:r>
        <w:rPr>
          <w:rFonts w:ascii="Arial" w:hAnsi="Arial" w:cs="Arial"/>
          <w:bCs/>
        </w:rPr>
        <w:t xml:space="preserve">This means that each school will gain at least +0.5% </w:t>
      </w:r>
      <w:r w:rsidRPr="00CD6213">
        <w:rPr>
          <w:rFonts w:ascii="Arial" w:hAnsi="Arial" w:cs="Arial"/>
          <w:bCs/>
          <w:i/>
          <w:iCs/>
        </w:rPr>
        <w:t xml:space="preserve">per pupil </w:t>
      </w:r>
      <w:r>
        <w:rPr>
          <w:rFonts w:ascii="Arial" w:hAnsi="Arial" w:cs="Arial"/>
          <w:bCs/>
        </w:rPr>
        <w:t>compared with the 2020-21 budget.</w:t>
      </w:r>
    </w:p>
    <w:p w14:paraId="6447F13E" w14:textId="77777777" w:rsidR="00CD6213" w:rsidRDefault="00CD6213" w:rsidP="00CD6213">
      <w:pPr>
        <w:pStyle w:val="ListParagraph"/>
        <w:rPr>
          <w:rFonts w:ascii="Arial" w:hAnsi="Arial" w:cs="Arial"/>
          <w:bCs/>
        </w:rPr>
      </w:pPr>
    </w:p>
    <w:p w14:paraId="36FEB5DC" w14:textId="77777777" w:rsidR="00CD6213" w:rsidRPr="00CD6213" w:rsidRDefault="00CD6213" w:rsidP="00CD6213">
      <w:pPr>
        <w:pStyle w:val="ListParagraph"/>
        <w:numPr>
          <w:ilvl w:val="0"/>
          <w:numId w:val="1"/>
        </w:numPr>
        <w:rPr>
          <w:rFonts w:ascii="Arial" w:hAnsi="Arial" w:cs="Arial"/>
          <w:bCs/>
        </w:rPr>
      </w:pPr>
      <w:r>
        <w:rPr>
          <w:rFonts w:ascii="Arial" w:hAnsi="Arial" w:cs="Arial"/>
          <w:bCs/>
        </w:rPr>
        <w:t>Where schools are protected by MFG this means that they are receiving funding over and above that which is calculated by the National Funding Formula because of the levels of funding they had been receiving prior to the introduction of the NFF. In future years if the MFG protection is removed then those schools who are funding above the NFF will see an immediate drop in funding from one year to the next.</w:t>
      </w:r>
    </w:p>
    <w:p w14:paraId="44735C61" w14:textId="77777777" w:rsidR="00134576" w:rsidRPr="00134576" w:rsidRDefault="00134576" w:rsidP="00201CAA">
      <w:pPr>
        <w:rPr>
          <w:rFonts w:ascii="Arial" w:hAnsi="Arial" w:cs="Arial"/>
          <w:b/>
        </w:rPr>
      </w:pPr>
      <w:r w:rsidRPr="00134576">
        <w:rPr>
          <w:rFonts w:ascii="Arial" w:hAnsi="Arial" w:cs="Arial"/>
          <w:b/>
        </w:rPr>
        <w:t>Central School Services Block</w:t>
      </w:r>
    </w:p>
    <w:p w14:paraId="18ABDE5E" w14:textId="77777777" w:rsidR="00134576" w:rsidRDefault="00134576" w:rsidP="00134576">
      <w:pPr>
        <w:pStyle w:val="ListParagraph"/>
        <w:numPr>
          <w:ilvl w:val="0"/>
          <w:numId w:val="1"/>
        </w:numPr>
        <w:rPr>
          <w:rFonts w:ascii="Arial" w:hAnsi="Arial" w:cs="Arial"/>
        </w:rPr>
      </w:pPr>
      <w:r>
        <w:rPr>
          <w:rFonts w:ascii="Arial" w:hAnsi="Arial" w:cs="Arial"/>
        </w:rPr>
        <w:t>The CSSB funds the following services:</w:t>
      </w:r>
    </w:p>
    <w:p w14:paraId="147E698F" w14:textId="77777777" w:rsidR="00134576" w:rsidRDefault="00134576" w:rsidP="00134576">
      <w:pPr>
        <w:pStyle w:val="ListParagraph"/>
        <w:numPr>
          <w:ilvl w:val="1"/>
          <w:numId w:val="1"/>
        </w:numPr>
        <w:rPr>
          <w:rFonts w:ascii="Arial" w:hAnsi="Arial" w:cs="Arial"/>
        </w:rPr>
      </w:pPr>
      <w:r>
        <w:rPr>
          <w:rFonts w:ascii="Arial" w:hAnsi="Arial" w:cs="Arial"/>
        </w:rPr>
        <w:t>School Admissions</w:t>
      </w:r>
    </w:p>
    <w:p w14:paraId="50A44946" w14:textId="77777777" w:rsidR="00134576" w:rsidRDefault="00134576" w:rsidP="00134576">
      <w:pPr>
        <w:pStyle w:val="ListParagraph"/>
        <w:numPr>
          <w:ilvl w:val="1"/>
          <w:numId w:val="1"/>
        </w:numPr>
        <w:rPr>
          <w:rFonts w:ascii="Arial" w:hAnsi="Arial" w:cs="Arial"/>
        </w:rPr>
      </w:pPr>
      <w:r>
        <w:rPr>
          <w:rFonts w:ascii="Arial" w:hAnsi="Arial" w:cs="Arial"/>
        </w:rPr>
        <w:t>Servicing of Schools Forum</w:t>
      </w:r>
    </w:p>
    <w:p w14:paraId="499BD05B" w14:textId="77777777" w:rsidR="00134576" w:rsidRDefault="00134576" w:rsidP="00134576">
      <w:pPr>
        <w:pStyle w:val="ListParagraph"/>
        <w:numPr>
          <w:ilvl w:val="1"/>
          <w:numId w:val="1"/>
        </w:numPr>
        <w:rPr>
          <w:rFonts w:ascii="Arial" w:hAnsi="Arial" w:cs="Arial"/>
        </w:rPr>
      </w:pPr>
      <w:r>
        <w:rPr>
          <w:rFonts w:ascii="Arial" w:hAnsi="Arial" w:cs="Arial"/>
        </w:rPr>
        <w:t xml:space="preserve">LA retained duties for schools and academies. </w:t>
      </w:r>
    </w:p>
    <w:p w14:paraId="7995094C" w14:textId="77777777" w:rsidR="00D3021E" w:rsidRDefault="00D3021E" w:rsidP="00D3021E">
      <w:pPr>
        <w:pStyle w:val="ListParagraph"/>
        <w:rPr>
          <w:rFonts w:ascii="Arial" w:hAnsi="Arial" w:cs="Arial"/>
        </w:rPr>
      </w:pPr>
    </w:p>
    <w:p w14:paraId="6592AB6F" w14:textId="2E6C0680" w:rsidR="00134576" w:rsidRDefault="00134576" w:rsidP="00134576">
      <w:pPr>
        <w:pStyle w:val="ListParagraph"/>
        <w:numPr>
          <w:ilvl w:val="0"/>
          <w:numId w:val="1"/>
        </w:numPr>
        <w:rPr>
          <w:rFonts w:ascii="Arial" w:hAnsi="Arial" w:cs="Arial"/>
        </w:rPr>
      </w:pPr>
      <w:r>
        <w:rPr>
          <w:rFonts w:ascii="Arial" w:hAnsi="Arial" w:cs="Arial"/>
        </w:rPr>
        <w:t>The indicative funding for 2</w:t>
      </w:r>
      <w:r w:rsidR="00CD6213">
        <w:rPr>
          <w:rFonts w:ascii="Arial" w:hAnsi="Arial" w:cs="Arial"/>
        </w:rPr>
        <w:t>02</w:t>
      </w:r>
      <w:r w:rsidR="00146DC3">
        <w:rPr>
          <w:rFonts w:ascii="Arial" w:hAnsi="Arial" w:cs="Arial"/>
        </w:rPr>
        <w:t>2-23</w:t>
      </w:r>
      <w:r w:rsidR="00CD6213">
        <w:rPr>
          <w:rFonts w:ascii="Arial" w:hAnsi="Arial" w:cs="Arial"/>
        </w:rPr>
        <w:t xml:space="preserve"> </w:t>
      </w:r>
      <w:r w:rsidR="00146DC3">
        <w:rPr>
          <w:rFonts w:ascii="Arial" w:hAnsi="Arial" w:cs="Arial"/>
        </w:rPr>
        <w:t>is £1.4m</w:t>
      </w:r>
      <w:r>
        <w:rPr>
          <w:rFonts w:ascii="Arial" w:hAnsi="Arial" w:cs="Arial"/>
        </w:rPr>
        <w:t>.</w:t>
      </w:r>
    </w:p>
    <w:p w14:paraId="46C7A0DC" w14:textId="77777777" w:rsidR="00134576" w:rsidRPr="007F040D" w:rsidRDefault="00134576" w:rsidP="00134576">
      <w:pPr>
        <w:rPr>
          <w:rFonts w:ascii="Arial" w:hAnsi="Arial" w:cs="Arial"/>
          <w:b/>
        </w:rPr>
      </w:pPr>
      <w:r w:rsidRPr="007F040D">
        <w:rPr>
          <w:rFonts w:ascii="Arial" w:hAnsi="Arial" w:cs="Arial"/>
          <w:b/>
        </w:rPr>
        <w:t>Growth Fund</w:t>
      </w:r>
    </w:p>
    <w:p w14:paraId="7372E219" w14:textId="77777777" w:rsidR="00134576" w:rsidRDefault="00134576" w:rsidP="007F040D">
      <w:pPr>
        <w:pStyle w:val="ListParagraph"/>
        <w:numPr>
          <w:ilvl w:val="0"/>
          <w:numId w:val="1"/>
        </w:numPr>
        <w:rPr>
          <w:rFonts w:ascii="Arial" w:hAnsi="Arial" w:cs="Arial"/>
        </w:rPr>
      </w:pPr>
      <w:r>
        <w:rPr>
          <w:rFonts w:ascii="Arial" w:hAnsi="Arial" w:cs="Arial"/>
        </w:rPr>
        <w:t xml:space="preserve">Schools Forum agreed to continue to maintain a </w:t>
      </w:r>
      <w:proofErr w:type="gramStart"/>
      <w:r>
        <w:rPr>
          <w:rFonts w:ascii="Arial" w:hAnsi="Arial" w:cs="Arial"/>
        </w:rPr>
        <w:t>ring fenced</w:t>
      </w:r>
      <w:proofErr w:type="gramEnd"/>
      <w:r>
        <w:rPr>
          <w:rFonts w:ascii="Arial" w:hAnsi="Arial" w:cs="Arial"/>
        </w:rPr>
        <w:t xml:space="preserve"> growth fund from the DSG in order to fund in-year pupil growth in relation to additional classes in both maintained and academy schools which create additional classes at the request of the LA.</w:t>
      </w:r>
    </w:p>
    <w:p w14:paraId="1958D28B" w14:textId="77777777" w:rsidR="007F040D" w:rsidRPr="00D3021E" w:rsidRDefault="007F040D" w:rsidP="007F040D">
      <w:pPr>
        <w:rPr>
          <w:rFonts w:ascii="Arial" w:hAnsi="Arial" w:cs="Arial"/>
          <w:b/>
        </w:rPr>
      </w:pPr>
      <w:r w:rsidRPr="00D3021E">
        <w:rPr>
          <w:rFonts w:ascii="Arial" w:hAnsi="Arial" w:cs="Arial"/>
          <w:b/>
        </w:rPr>
        <w:t>High Needs Funding</w:t>
      </w:r>
    </w:p>
    <w:p w14:paraId="7F91E2E7" w14:textId="77777777" w:rsidR="007F040D" w:rsidRDefault="007F040D" w:rsidP="007F040D">
      <w:pPr>
        <w:pStyle w:val="ListParagraph"/>
        <w:numPr>
          <w:ilvl w:val="0"/>
          <w:numId w:val="1"/>
        </w:numPr>
        <w:rPr>
          <w:rFonts w:ascii="Arial" w:hAnsi="Arial" w:cs="Arial"/>
        </w:rPr>
      </w:pPr>
      <w:r>
        <w:rPr>
          <w:rFonts w:ascii="Arial" w:hAnsi="Arial" w:cs="Arial"/>
        </w:rPr>
        <w:t>High Needs funding is designed to support a continuum of provision for pupils and students with special educational needs and disabilities (SEND) from 0-25 years old. The following are funded from the High Needs Block of the DSG:</w:t>
      </w:r>
    </w:p>
    <w:p w14:paraId="1ABAB1E7" w14:textId="77777777" w:rsidR="007F040D" w:rsidRDefault="007F040D" w:rsidP="007F040D">
      <w:pPr>
        <w:pStyle w:val="ListParagraph"/>
        <w:numPr>
          <w:ilvl w:val="1"/>
          <w:numId w:val="1"/>
        </w:numPr>
        <w:rPr>
          <w:rFonts w:ascii="Arial" w:hAnsi="Arial" w:cs="Arial"/>
        </w:rPr>
      </w:pPr>
      <w:r>
        <w:rPr>
          <w:rFonts w:ascii="Arial" w:hAnsi="Arial" w:cs="Arial"/>
        </w:rPr>
        <w:t>Harrow special schools and academies</w:t>
      </w:r>
    </w:p>
    <w:p w14:paraId="0747B9AC" w14:textId="77777777" w:rsidR="007F040D" w:rsidRDefault="007F040D" w:rsidP="007F040D">
      <w:pPr>
        <w:pStyle w:val="ListParagraph"/>
        <w:numPr>
          <w:ilvl w:val="1"/>
          <w:numId w:val="1"/>
        </w:numPr>
        <w:rPr>
          <w:rFonts w:ascii="Arial" w:hAnsi="Arial" w:cs="Arial"/>
        </w:rPr>
      </w:pPr>
      <w:proofErr w:type="gramStart"/>
      <w:r>
        <w:rPr>
          <w:rFonts w:ascii="Arial" w:hAnsi="Arial" w:cs="Arial"/>
        </w:rPr>
        <w:t>Additionally</w:t>
      </w:r>
      <w:proofErr w:type="gramEnd"/>
      <w:r>
        <w:rPr>
          <w:rFonts w:ascii="Arial" w:hAnsi="Arial" w:cs="Arial"/>
        </w:rPr>
        <w:t xml:space="preserve"> Resourced Mainstream (ARMs) units in mainstream schools and academies</w:t>
      </w:r>
    </w:p>
    <w:p w14:paraId="65AAAB49" w14:textId="77777777" w:rsidR="007F040D" w:rsidRDefault="007F040D" w:rsidP="007F040D">
      <w:pPr>
        <w:pStyle w:val="ListParagraph"/>
        <w:numPr>
          <w:ilvl w:val="1"/>
          <w:numId w:val="1"/>
        </w:numPr>
        <w:rPr>
          <w:rFonts w:ascii="Arial" w:hAnsi="Arial" w:cs="Arial"/>
        </w:rPr>
      </w:pPr>
      <w:r>
        <w:rPr>
          <w:rFonts w:ascii="Arial" w:hAnsi="Arial" w:cs="Arial"/>
        </w:rPr>
        <w:t>Places in out of borough special schools and independent school provision</w:t>
      </w:r>
    </w:p>
    <w:p w14:paraId="5F7A0B60" w14:textId="77777777" w:rsidR="007F040D" w:rsidRDefault="007F040D" w:rsidP="007F040D">
      <w:pPr>
        <w:pStyle w:val="ListParagraph"/>
        <w:numPr>
          <w:ilvl w:val="1"/>
          <w:numId w:val="1"/>
        </w:numPr>
        <w:rPr>
          <w:rFonts w:ascii="Arial" w:hAnsi="Arial" w:cs="Arial"/>
        </w:rPr>
      </w:pPr>
      <w:r>
        <w:rPr>
          <w:rFonts w:ascii="Arial" w:hAnsi="Arial" w:cs="Arial"/>
        </w:rPr>
        <w:t>EHCPs in mainstream schools and academies</w:t>
      </w:r>
    </w:p>
    <w:p w14:paraId="68134561" w14:textId="77777777" w:rsidR="007F040D" w:rsidRDefault="007F040D" w:rsidP="007F040D">
      <w:pPr>
        <w:pStyle w:val="ListParagraph"/>
        <w:numPr>
          <w:ilvl w:val="1"/>
          <w:numId w:val="1"/>
        </w:numPr>
        <w:rPr>
          <w:rFonts w:ascii="Arial" w:hAnsi="Arial" w:cs="Arial"/>
        </w:rPr>
      </w:pPr>
      <w:r>
        <w:rPr>
          <w:rFonts w:ascii="Arial" w:hAnsi="Arial" w:cs="Arial"/>
        </w:rPr>
        <w:lastRenderedPageBreak/>
        <w:t xml:space="preserve">Post 16 provision including Further Education </w:t>
      </w:r>
    </w:p>
    <w:p w14:paraId="46597C78" w14:textId="77777777" w:rsidR="007F040D" w:rsidRDefault="007F040D" w:rsidP="007F040D">
      <w:pPr>
        <w:pStyle w:val="ListParagraph"/>
        <w:numPr>
          <w:ilvl w:val="1"/>
          <w:numId w:val="1"/>
        </w:numPr>
        <w:rPr>
          <w:rFonts w:ascii="Arial" w:hAnsi="Arial" w:cs="Arial"/>
        </w:rPr>
      </w:pPr>
      <w:r>
        <w:rPr>
          <w:rFonts w:ascii="Arial" w:hAnsi="Arial" w:cs="Arial"/>
        </w:rPr>
        <w:t>SEND Support services and support for inclusion</w:t>
      </w:r>
    </w:p>
    <w:p w14:paraId="7208E673" w14:textId="77777777" w:rsidR="007F040D" w:rsidRDefault="007F040D" w:rsidP="007F040D">
      <w:pPr>
        <w:pStyle w:val="ListParagraph"/>
        <w:numPr>
          <w:ilvl w:val="1"/>
          <w:numId w:val="1"/>
        </w:numPr>
        <w:rPr>
          <w:rFonts w:ascii="Arial" w:hAnsi="Arial" w:cs="Arial"/>
        </w:rPr>
      </w:pPr>
      <w:r>
        <w:rPr>
          <w:rFonts w:ascii="Arial" w:hAnsi="Arial" w:cs="Arial"/>
        </w:rPr>
        <w:t>Alternative provision including Pupil Referral Units and education other than at school</w:t>
      </w:r>
    </w:p>
    <w:p w14:paraId="5A7DC854" w14:textId="77777777" w:rsidR="00D3021E" w:rsidRDefault="00D3021E" w:rsidP="00D3021E">
      <w:pPr>
        <w:pStyle w:val="ListParagraph"/>
        <w:rPr>
          <w:rFonts w:ascii="Arial" w:hAnsi="Arial" w:cs="Arial"/>
        </w:rPr>
      </w:pPr>
    </w:p>
    <w:p w14:paraId="267B36C7" w14:textId="77777777" w:rsidR="007F040D" w:rsidRDefault="007F040D" w:rsidP="007F040D">
      <w:pPr>
        <w:pStyle w:val="ListParagraph"/>
        <w:numPr>
          <w:ilvl w:val="0"/>
          <w:numId w:val="1"/>
        </w:numPr>
        <w:rPr>
          <w:rFonts w:ascii="Arial" w:hAnsi="Arial" w:cs="Arial"/>
        </w:rPr>
      </w:pPr>
      <w:r>
        <w:rPr>
          <w:rFonts w:ascii="Arial" w:hAnsi="Arial" w:cs="Arial"/>
        </w:rPr>
        <w:t xml:space="preserve">The government introduced a National Funding Formula for High Needs from 2018-19. Funding has previously been based on historical allocations plus small annual amounts of growth. In order to manage increasing growth for demand and complexity, annual funding transfer from the </w:t>
      </w:r>
      <w:proofErr w:type="gramStart"/>
      <w:r>
        <w:rPr>
          <w:rFonts w:ascii="Arial" w:hAnsi="Arial" w:cs="Arial"/>
        </w:rPr>
        <w:t>schools</w:t>
      </w:r>
      <w:proofErr w:type="gramEnd"/>
      <w:r>
        <w:rPr>
          <w:rFonts w:ascii="Arial" w:hAnsi="Arial" w:cs="Arial"/>
        </w:rPr>
        <w:t xml:space="preserve"> block into the high needs block have been approved by Schools Forum</w:t>
      </w:r>
    </w:p>
    <w:p w14:paraId="5FF13839" w14:textId="77777777" w:rsidR="007F040D" w:rsidRDefault="007F040D" w:rsidP="007F040D">
      <w:pPr>
        <w:pStyle w:val="ListParagraph"/>
        <w:rPr>
          <w:rFonts w:ascii="Arial" w:hAnsi="Arial" w:cs="Arial"/>
        </w:rPr>
      </w:pPr>
    </w:p>
    <w:p w14:paraId="4406CAEF" w14:textId="77777777" w:rsidR="003C74B9" w:rsidRPr="00D67F65" w:rsidRDefault="007F040D" w:rsidP="003C74B9">
      <w:pPr>
        <w:pStyle w:val="ListParagraph"/>
        <w:numPr>
          <w:ilvl w:val="0"/>
          <w:numId w:val="1"/>
        </w:numPr>
        <w:rPr>
          <w:rFonts w:ascii="Arial" w:hAnsi="Arial" w:cs="Arial"/>
        </w:rPr>
      </w:pPr>
      <w:r w:rsidRPr="00D67F65">
        <w:rPr>
          <w:rFonts w:ascii="Arial" w:hAnsi="Arial" w:cs="Arial"/>
        </w:rPr>
        <w:t>From 2018-19 the Schools Block has been ring-fenced and transfers between blocks has been restricted to 0.5% of the Schools Block (approx. £800k). The decision to agree a transfer remains with Schools Forum. It agreed a transfer of 0.5% in 2018-19 and a reduced transfer of 0.25% in 2019-20</w:t>
      </w:r>
      <w:r w:rsidR="00CD6213">
        <w:rPr>
          <w:rFonts w:ascii="Arial" w:hAnsi="Arial" w:cs="Arial"/>
        </w:rPr>
        <w:t xml:space="preserve"> however it did not agree to any transfer beyond 2019-20 on the basis that the government should be properly addressing the inherent underfunding of High Needs pupils and to continue to </w:t>
      </w:r>
      <w:proofErr w:type="spellStart"/>
      <w:r w:rsidR="00CD6213">
        <w:rPr>
          <w:rFonts w:ascii="Arial" w:hAnsi="Arial" w:cs="Arial"/>
        </w:rPr>
        <w:t>topslice</w:t>
      </w:r>
      <w:proofErr w:type="spellEnd"/>
      <w:r w:rsidR="00CD6213">
        <w:rPr>
          <w:rFonts w:ascii="Arial" w:hAnsi="Arial" w:cs="Arial"/>
        </w:rPr>
        <w:t xml:space="preserve"> mainstream school budgets masks the extent of the problem</w:t>
      </w:r>
      <w:r w:rsidRPr="00D67F65">
        <w:rPr>
          <w:rFonts w:ascii="Arial" w:hAnsi="Arial" w:cs="Arial"/>
        </w:rPr>
        <w:t xml:space="preserve">. </w:t>
      </w:r>
    </w:p>
    <w:p w14:paraId="53A3FFB3" w14:textId="77777777" w:rsidR="003C74B9" w:rsidRPr="003C74B9" w:rsidRDefault="003C74B9" w:rsidP="003C74B9">
      <w:pPr>
        <w:pStyle w:val="ListParagraph"/>
        <w:rPr>
          <w:rFonts w:ascii="Arial" w:hAnsi="Arial" w:cs="Arial"/>
        </w:rPr>
      </w:pPr>
    </w:p>
    <w:p w14:paraId="55955DCD" w14:textId="7AFA8CD9" w:rsidR="00CD6213" w:rsidRDefault="00CD6213" w:rsidP="007F040D">
      <w:pPr>
        <w:pStyle w:val="ListParagraph"/>
        <w:numPr>
          <w:ilvl w:val="0"/>
          <w:numId w:val="1"/>
        </w:numPr>
        <w:rPr>
          <w:rFonts w:ascii="Arial" w:hAnsi="Arial" w:cs="Arial"/>
        </w:rPr>
      </w:pPr>
      <w:r>
        <w:rPr>
          <w:rFonts w:ascii="Arial" w:hAnsi="Arial" w:cs="Arial"/>
        </w:rPr>
        <w:t>There is anticipated to be an additional £</w:t>
      </w:r>
      <w:r w:rsidR="00146DC3">
        <w:rPr>
          <w:rFonts w:ascii="Arial" w:hAnsi="Arial" w:cs="Arial"/>
        </w:rPr>
        <w:t>3</w:t>
      </w:r>
      <w:r>
        <w:rPr>
          <w:rFonts w:ascii="Arial" w:hAnsi="Arial" w:cs="Arial"/>
        </w:rPr>
        <w:t xml:space="preserve">m added to the HNB for </w:t>
      </w:r>
      <w:r w:rsidR="00146DC3">
        <w:rPr>
          <w:rFonts w:ascii="Arial" w:hAnsi="Arial" w:cs="Arial"/>
        </w:rPr>
        <w:t>2022-23</w:t>
      </w:r>
      <w:r>
        <w:rPr>
          <w:rFonts w:ascii="Arial" w:hAnsi="Arial" w:cs="Arial"/>
        </w:rPr>
        <w:t xml:space="preserve"> however there are already significant pressures on the HNB.</w:t>
      </w:r>
    </w:p>
    <w:p w14:paraId="5E3C7144" w14:textId="77777777" w:rsidR="00CD6213" w:rsidRPr="00CD6213" w:rsidRDefault="00CD6213" w:rsidP="00CD6213">
      <w:pPr>
        <w:pStyle w:val="ListParagraph"/>
        <w:rPr>
          <w:rFonts w:ascii="Arial" w:hAnsi="Arial" w:cs="Arial"/>
        </w:rPr>
      </w:pPr>
    </w:p>
    <w:p w14:paraId="4FD217D7" w14:textId="1CCF592D" w:rsidR="00D3021E" w:rsidRPr="00CD6213" w:rsidRDefault="00146DC3" w:rsidP="003C74B9">
      <w:pPr>
        <w:pStyle w:val="ListParagraph"/>
        <w:numPr>
          <w:ilvl w:val="0"/>
          <w:numId w:val="1"/>
        </w:numPr>
        <w:rPr>
          <w:rFonts w:ascii="Arial" w:hAnsi="Arial" w:cs="Arial"/>
          <w:b/>
        </w:rPr>
      </w:pPr>
      <w:r>
        <w:rPr>
          <w:rFonts w:ascii="Arial" w:hAnsi="Arial" w:cs="Arial"/>
        </w:rPr>
        <w:t xml:space="preserve">At the start of 2021-22 </w:t>
      </w:r>
      <w:r w:rsidR="003C74B9" w:rsidRPr="00CD6213">
        <w:rPr>
          <w:rFonts w:ascii="Arial" w:hAnsi="Arial" w:cs="Arial"/>
        </w:rPr>
        <w:t xml:space="preserve">there </w:t>
      </w:r>
      <w:r>
        <w:rPr>
          <w:rFonts w:ascii="Arial" w:hAnsi="Arial" w:cs="Arial"/>
        </w:rPr>
        <w:t xml:space="preserve">is a cumulative overspend </w:t>
      </w:r>
      <w:r w:rsidR="003C74B9" w:rsidRPr="00CD6213">
        <w:rPr>
          <w:rFonts w:ascii="Arial" w:hAnsi="Arial" w:cs="Arial"/>
        </w:rPr>
        <w:t>on the HNB of £</w:t>
      </w:r>
      <w:r>
        <w:rPr>
          <w:rFonts w:ascii="Arial" w:hAnsi="Arial" w:cs="Arial"/>
        </w:rPr>
        <w:t>3.730</w:t>
      </w:r>
      <w:r w:rsidR="00CD6213" w:rsidRPr="00CD6213">
        <w:rPr>
          <w:rFonts w:ascii="Arial" w:hAnsi="Arial" w:cs="Arial"/>
        </w:rPr>
        <w:t xml:space="preserve">m and there is a further projected overspend in </w:t>
      </w:r>
      <w:r>
        <w:rPr>
          <w:rFonts w:ascii="Arial" w:hAnsi="Arial" w:cs="Arial"/>
        </w:rPr>
        <w:t>2021-22</w:t>
      </w:r>
      <w:r w:rsidR="00CD6213" w:rsidRPr="00CD6213">
        <w:rPr>
          <w:rFonts w:ascii="Arial" w:hAnsi="Arial" w:cs="Arial"/>
        </w:rPr>
        <w:t xml:space="preserve"> of £</w:t>
      </w:r>
      <w:r>
        <w:rPr>
          <w:rFonts w:ascii="Arial" w:hAnsi="Arial" w:cs="Arial"/>
        </w:rPr>
        <w:t>1.165</w:t>
      </w:r>
      <w:r w:rsidR="00CD6213" w:rsidRPr="00CD6213">
        <w:rPr>
          <w:rFonts w:ascii="Arial" w:hAnsi="Arial" w:cs="Arial"/>
        </w:rPr>
        <w:t>m taking the projected cumulative deficit on the HNB to £</w:t>
      </w:r>
      <w:r w:rsidR="00FF0D65">
        <w:rPr>
          <w:rFonts w:ascii="Arial" w:hAnsi="Arial" w:cs="Arial"/>
        </w:rPr>
        <w:t>4.895</w:t>
      </w:r>
      <w:r w:rsidR="00CD6213" w:rsidRPr="00CD6213">
        <w:rPr>
          <w:rFonts w:ascii="Arial" w:hAnsi="Arial" w:cs="Arial"/>
        </w:rPr>
        <w:t>m by March 202</w:t>
      </w:r>
      <w:r>
        <w:rPr>
          <w:rFonts w:ascii="Arial" w:hAnsi="Arial" w:cs="Arial"/>
        </w:rPr>
        <w:t>2</w:t>
      </w:r>
      <w:r w:rsidR="00CD6213" w:rsidRPr="00CD6213">
        <w:rPr>
          <w:rFonts w:ascii="Arial" w:hAnsi="Arial" w:cs="Arial"/>
        </w:rPr>
        <w:t>.</w:t>
      </w:r>
      <w:r w:rsidR="003C74B9" w:rsidRPr="00CD6213">
        <w:rPr>
          <w:rFonts w:ascii="Arial" w:hAnsi="Arial" w:cs="Arial"/>
        </w:rPr>
        <w:t xml:space="preserve"> </w:t>
      </w:r>
    </w:p>
    <w:p w14:paraId="49E980A6" w14:textId="77777777" w:rsidR="003C74B9" w:rsidRPr="00713197" w:rsidRDefault="003C74B9" w:rsidP="003C74B9">
      <w:pPr>
        <w:rPr>
          <w:rFonts w:ascii="Arial" w:hAnsi="Arial" w:cs="Arial"/>
          <w:b/>
        </w:rPr>
      </w:pPr>
      <w:r w:rsidRPr="00713197">
        <w:rPr>
          <w:rFonts w:ascii="Arial" w:hAnsi="Arial" w:cs="Arial"/>
          <w:b/>
        </w:rPr>
        <w:t>DSG deficits</w:t>
      </w:r>
    </w:p>
    <w:p w14:paraId="1DF94F93" w14:textId="77777777" w:rsidR="00636838" w:rsidRDefault="00CD6213" w:rsidP="00636838">
      <w:pPr>
        <w:pStyle w:val="Default"/>
        <w:numPr>
          <w:ilvl w:val="0"/>
          <w:numId w:val="1"/>
        </w:numPr>
        <w:spacing w:after="316"/>
        <w:rPr>
          <w:sz w:val="23"/>
          <w:szCs w:val="23"/>
        </w:rPr>
      </w:pPr>
      <w:r>
        <w:rPr>
          <w:sz w:val="23"/>
          <w:szCs w:val="23"/>
        </w:rPr>
        <w:t xml:space="preserve">The government consulted on the treatment of deficits in 2019. The outcome of the consultation was a change to the regulations </w:t>
      </w:r>
      <w:r w:rsidR="00820229">
        <w:rPr>
          <w:sz w:val="23"/>
          <w:szCs w:val="23"/>
        </w:rPr>
        <w:t xml:space="preserve">for the treatment of DSG deficits so that LAs must carry forward any HNB deficit to be funded from the next year’s budget share. It also explicitly states that LAs </w:t>
      </w:r>
      <w:proofErr w:type="spellStart"/>
      <w:r w:rsidR="00820229">
        <w:rPr>
          <w:sz w:val="23"/>
          <w:szCs w:val="23"/>
        </w:rPr>
        <w:t>can not</w:t>
      </w:r>
      <w:proofErr w:type="spellEnd"/>
      <w:r w:rsidR="00820229">
        <w:rPr>
          <w:sz w:val="23"/>
          <w:szCs w:val="23"/>
        </w:rPr>
        <w:t xml:space="preserve"> and should not fund any DSG deficit from its own reserves.</w:t>
      </w:r>
      <w:r w:rsidR="00636838">
        <w:rPr>
          <w:sz w:val="23"/>
          <w:szCs w:val="23"/>
        </w:rPr>
        <w:t xml:space="preserve"> </w:t>
      </w:r>
    </w:p>
    <w:p w14:paraId="006E8A21" w14:textId="77918F96" w:rsidR="00820229" w:rsidRPr="007448C6" w:rsidRDefault="00820229" w:rsidP="00820229">
      <w:pPr>
        <w:rPr>
          <w:rFonts w:ascii="Arial" w:hAnsi="Arial" w:cs="Arial"/>
          <w:b/>
        </w:rPr>
      </w:pPr>
      <w:r w:rsidRPr="007448C6">
        <w:rPr>
          <w:rFonts w:ascii="Arial" w:hAnsi="Arial" w:cs="Arial"/>
          <w:b/>
        </w:rPr>
        <w:t xml:space="preserve">DSG </w:t>
      </w:r>
      <w:r w:rsidR="00FF0D65">
        <w:rPr>
          <w:rFonts w:ascii="Arial" w:hAnsi="Arial" w:cs="Arial"/>
          <w:b/>
        </w:rPr>
        <w:t>Management P</w:t>
      </w:r>
      <w:r w:rsidR="00FB3D7B">
        <w:rPr>
          <w:rFonts w:ascii="Arial" w:hAnsi="Arial" w:cs="Arial"/>
          <w:b/>
        </w:rPr>
        <w:t>lans</w:t>
      </w:r>
      <w:bookmarkStart w:id="0" w:name="_GoBack"/>
      <w:bookmarkEnd w:id="0"/>
    </w:p>
    <w:p w14:paraId="2BB5D1A8" w14:textId="77777777" w:rsidR="00820229" w:rsidRDefault="00820229" w:rsidP="00820229">
      <w:pPr>
        <w:pStyle w:val="ListParagraph"/>
        <w:numPr>
          <w:ilvl w:val="0"/>
          <w:numId w:val="1"/>
        </w:numPr>
        <w:rPr>
          <w:rFonts w:ascii="Arial" w:hAnsi="Arial" w:cs="Arial"/>
        </w:rPr>
      </w:pPr>
      <w:r w:rsidRPr="00820229">
        <w:rPr>
          <w:rFonts w:ascii="Arial" w:hAnsi="Arial" w:cs="Arial"/>
        </w:rPr>
        <w:t>With effect from 2019-20 the DfE has tightened up the rules under which local authorities have to explain their plans for bringing the DSG account back into balance</w:t>
      </w:r>
    </w:p>
    <w:p w14:paraId="7938E050" w14:textId="77777777" w:rsidR="00820229" w:rsidRDefault="00820229" w:rsidP="00820229">
      <w:pPr>
        <w:pStyle w:val="ListParagraph"/>
        <w:rPr>
          <w:rFonts w:ascii="Arial" w:hAnsi="Arial" w:cs="Arial"/>
        </w:rPr>
      </w:pPr>
    </w:p>
    <w:p w14:paraId="160250F1" w14:textId="41A4B7AE" w:rsidR="00820229" w:rsidRDefault="00820229" w:rsidP="00820229">
      <w:pPr>
        <w:pStyle w:val="ListParagraph"/>
        <w:numPr>
          <w:ilvl w:val="0"/>
          <w:numId w:val="1"/>
        </w:numPr>
        <w:rPr>
          <w:rFonts w:ascii="Arial" w:hAnsi="Arial" w:cs="Arial"/>
        </w:rPr>
      </w:pPr>
      <w:r w:rsidRPr="00820229">
        <w:rPr>
          <w:rFonts w:ascii="Arial" w:hAnsi="Arial" w:cs="Arial"/>
        </w:rPr>
        <w:t xml:space="preserve">The DfE will require a report from any LA that has a cumulative DSG deficit of more than 1% at the end of the financial year. The 1% calculation will be based on the latest published DSG allocations for </w:t>
      </w:r>
      <w:r w:rsidR="00FF0D65">
        <w:rPr>
          <w:rFonts w:ascii="Arial" w:hAnsi="Arial" w:cs="Arial"/>
        </w:rPr>
        <w:t>2020-21</w:t>
      </w:r>
      <w:r w:rsidRPr="00820229">
        <w:rPr>
          <w:rFonts w:ascii="Arial" w:hAnsi="Arial" w:cs="Arial"/>
        </w:rPr>
        <w:t xml:space="preserve"> compared with the deficit shown it he authority’s published draft accounts.</w:t>
      </w:r>
    </w:p>
    <w:p w14:paraId="71E7F0C2" w14:textId="77777777" w:rsidR="00820229" w:rsidRPr="00820229" w:rsidRDefault="00820229" w:rsidP="00820229">
      <w:pPr>
        <w:pStyle w:val="ListParagraph"/>
        <w:rPr>
          <w:rFonts w:ascii="Arial" w:hAnsi="Arial" w:cs="Arial"/>
        </w:rPr>
      </w:pPr>
    </w:p>
    <w:p w14:paraId="6A0C400E" w14:textId="67275E4F" w:rsidR="00820229" w:rsidRPr="00820229" w:rsidRDefault="00820229" w:rsidP="00820229">
      <w:pPr>
        <w:pStyle w:val="ListParagraph"/>
        <w:numPr>
          <w:ilvl w:val="0"/>
          <w:numId w:val="1"/>
        </w:numPr>
        <w:rPr>
          <w:rFonts w:ascii="Arial" w:hAnsi="Arial" w:cs="Arial"/>
        </w:rPr>
      </w:pPr>
      <w:r w:rsidRPr="00820229">
        <w:rPr>
          <w:rFonts w:ascii="Arial" w:hAnsi="Arial" w:cs="Arial"/>
        </w:rPr>
        <w:t xml:space="preserve">The recovery plan has been drafted however and discussed with Schools Forum. </w:t>
      </w:r>
      <w:proofErr w:type="gramStart"/>
      <w:r w:rsidRPr="00820229">
        <w:rPr>
          <w:rFonts w:ascii="Arial" w:hAnsi="Arial" w:cs="Arial"/>
        </w:rPr>
        <w:t>However</w:t>
      </w:r>
      <w:proofErr w:type="gramEnd"/>
      <w:r w:rsidRPr="00820229">
        <w:rPr>
          <w:rFonts w:ascii="Arial" w:hAnsi="Arial" w:cs="Arial"/>
        </w:rPr>
        <w:t xml:space="preserve"> the following points should be noted:</w:t>
      </w:r>
    </w:p>
    <w:p w14:paraId="73024368" w14:textId="77777777" w:rsidR="00820229" w:rsidRPr="00820229" w:rsidRDefault="00820229" w:rsidP="00820229">
      <w:pPr>
        <w:pStyle w:val="ListParagraph"/>
        <w:rPr>
          <w:rFonts w:ascii="Arial" w:hAnsi="Arial" w:cs="Arial"/>
        </w:rPr>
      </w:pPr>
    </w:p>
    <w:p w14:paraId="38E0E352" w14:textId="77777777" w:rsidR="00820229" w:rsidRPr="00820229" w:rsidRDefault="00820229" w:rsidP="00820229">
      <w:pPr>
        <w:pStyle w:val="ListParagraph"/>
        <w:numPr>
          <w:ilvl w:val="0"/>
          <w:numId w:val="1"/>
        </w:numPr>
        <w:rPr>
          <w:rFonts w:ascii="Arial" w:hAnsi="Arial" w:cs="Arial"/>
        </w:rPr>
      </w:pPr>
      <w:r w:rsidRPr="00820229">
        <w:rPr>
          <w:rFonts w:ascii="Arial" w:hAnsi="Arial" w:cs="Arial"/>
        </w:rPr>
        <w:t>Despite the significant proposals and measures planned over the next ten years, this will not mitigate the deficit. This is due to the following contributory factors:</w:t>
      </w:r>
    </w:p>
    <w:p w14:paraId="267D820E" w14:textId="77777777" w:rsidR="00820229" w:rsidRPr="00820229" w:rsidRDefault="00820229" w:rsidP="00820229">
      <w:pPr>
        <w:pStyle w:val="ListParagraph"/>
        <w:numPr>
          <w:ilvl w:val="0"/>
          <w:numId w:val="5"/>
        </w:numPr>
        <w:rPr>
          <w:rFonts w:ascii="Arial" w:hAnsi="Arial" w:cs="Arial"/>
        </w:rPr>
      </w:pPr>
      <w:r w:rsidRPr="00820229">
        <w:rPr>
          <w:rFonts w:ascii="Arial" w:hAnsi="Arial" w:cs="Arial"/>
        </w:rPr>
        <w:lastRenderedPageBreak/>
        <w:t>historical underfunding</w:t>
      </w:r>
    </w:p>
    <w:p w14:paraId="37F30E94" w14:textId="77777777" w:rsidR="00820229" w:rsidRPr="00820229" w:rsidRDefault="00820229" w:rsidP="00820229">
      <w:pPr>
        <w:pStyle w:val="ListParagraph"/>
        <w:numPr>
          <w:ilvl w:val="0"/>
          <w:numId w:val="5"/>
        </w:numPr>
        <w:rPr>
          <w:rFonts w:ascii="Arial" w:hAnsi="Arial" w:cs="Arial"/>
        </w:rPr>
      </w:pPr>
      <w:r w:rsidRPr="00820229">
        <w:rPr>
          <w:rFonts w:ascii="Arial" w:hAnsi="Arial" w:cs="Arial"/>
        </w:rPr>
        <w:t>current budgets being based on historical budgets rather than historical spend</w:t>
      </w:r>
    </w:p>
    <w:p w14:paraId="02832627" w14:textId="77777777" w:rsidR="00820229" w:rsidRPr="00820229" w:rsidRDefault="00820229" w:rsidP="00820229">
      <w:pPr>
        <w:pStyle w:val="ListParagraph"/>
        <w:numPr>
          <w:ilvl w:val="0"/>
          <w:numId w:val="5"/>
        </w:numPr>
        <w:rPr>
          <w:rFonts w:ascii="Arial" w:hAnsi="Arial" w:cs="Arial"/>
        </w:rPr>
      </w:pPr>
      <w:r w:rsidRPr="00820229">
        <w:rPr>
          <w:rFonts w:ascii="Arial" w:hAnsi="Arial" w:cs="Arial"/>
        </w:rPr>
        <w:t>extension of age range to include 0-5 and post 19</w:t>
      </w:r>
    </w:p>
    <w:p w14:paraId="7C5B463C" w14:textId="77777777" w:rsidR="00820229" w:rsidRPr="00D24480" w:rsidRDefault="00820229" w:rsidP="00820229">
      <w:pPr>
        <w:pStyle w:val="ListParagraph"/>
        <w:numPr>
          <w:ilvl w:val="0"/>
          <w:numId w:val="5"/>
        </w:numPr>
        <w:rPr>
          <w:rFonts w:ascii="Arial" w:hAnsi="Arial" w:cs="Arial"/>
        </w:rPr>
      </w:pPr>
      <w:r w:rsidRPr="00820229">
        <w:rPr>
          <w:rFonts w:ascii="Arial" w:hAnsi="Arial" w:cs="Arial"/>
        </w:rPr>
        <w:t>current and projected</w:t>
      </w:r>
      <w:r w:rsidRPr="00D24480">
        <w:rPr>
          <w:rFonts w:ascii="Arial" w:hAnsi="Arial" w:cs="Arial"/>
        </w:rPr>
        <w:t xml:space="preserve"> formulaic funding which does not keep pace with demand</w:t>
      </w:r>
    </w:p>
    <w:p w14:paraId="54A2621C" w14:textId="77777777" w:rsidR="00820229" w:rsidRPr="00D24480" w:rsidRDefault="00820229" w:rsidP="00820229">
      <w:pPr>
        <w:pStyle w:val="ListParagraph"/>
        <w:numPr>
          <w:ilvl w:val="0"/>
          <w:numId w:val="5"/>
        </w:numPr>
        <w:rPr>
          <w:rFonts w:ascii="Arial" w:hAnsi="Arial" w:cs="Arial"/>
        </w:rPr>
      </w:pPr>
      <w:r w:rsidRPr="00D24480">
        <w:rPr>
          <w:rFonts w:ascii="Arial" w:hAnsi="Arial" w:cs="Arial"/>
        </w:rPr>
        <w:t>significant historical and projected growth in number of EHCPs</w:t>
      </w:r>
    </w:p>
    <w:p w14:paraId="749AB5BE" w14:textId="77777777" w:rsidR="00820229" w:rsidRPr="00D24480" w:rsidRDefault="00820229" w:rsidP="00820229">
      <w:pPr>
        <w:pStyle w:val="ListParagraph"/>
        <w:numPr>
          <w:ilvl w:val="0"/>
          <w:numId w:val="5"/>
        </w:numPr>
        <w:rPr>
          <w:rFonts w:ascii="Arial" w:hAnsi="Arial" w:cs="Arial"/>
        </w:rPr>
      </w:pPr>
      <w:r w:rsidRPr="00D24480">
        <w:rPr>
          <w:rFonts w:ascii="Arial" w:hAnsi="Arial" w:cs="Arial"/>
        </w:rPr>
        <w:t>continued growth in complexity of pupils’ needs</w:t>
      </w:r>
    </w:p>
    <w:p w14:paraId="6E3B379A" w14:textId="77777777" w:rsidR="00820229" w:rsidRPr="00D24480" w:rsidRDefault="00820229" w:rsidP="00820229">
      <w:pPr>
        <w:pStyle w:val="ListParagraph"/>
        <w:numPr>
          <w:ilvl w:val="0"/>
          <w:numId w:val="5"/>
        </w:numPr>
        <w:spacing w:line="240" w:lineRule="auto"/>
        <w:rPr>
          <w:rFonts w:ascii="Arial" w:hAnsi="Arial" w:cs="Arial"/>
          <w:i/>
        </w:rPr>
      </w:pPr>
      <w:r w:rsidRPr="00D24480">
        <w:rPr>
          <w:rFonts w:ascii="Arial" w:hAnsi="Arial" w:cs="Arial"/>
        </w:rPr>
        <w:t>limitations about creating cost effective provision in borough due to capacity and site limitations</w:t>
      </w:r>
    </w:p>
    <w:p w14:paraId="70D0F944" w14:textId="77777777" w:rsidR="005851F0" w:rsidRPr="00505AA5" w:rsidRDefault="00505AA5" w:rsidP="005851F0">
      <w:pPr>
        <w:rPr>
          <w:rFonts w:ascii="Arial" w:hAnsi="Arial" w:cs="Arial"/>
          <w:b/>
        </w:rPr>
      </w:pPr>
      <w:r w:rsidRPr="00505AA5">
        <w:rPr>
          <w:rFonts w:ascii="Arial" w:hAnsi="Arial" w:cs="Arial"/>
          <w:b/>
        </w:rPr>
        <w:t>Early Years Funding</w:t>
      </w:r>
    </w:p>
    <w:p w14:paraId="1BF79C51" w14:textId="77777777" w:rsidR="00505AA5" w:rsidRDefault="00505AA5" w:rsidP="00505AA5">
      <w:pPr>
        <w:pStyle w:val="ListParagraph"/>
        <w:numPr>
          <w:ilvl w:val="0"/>
          <w:numId w:val="1"/>
        </w:numPr>
        <w:rPr>
          <w:rFonts w:ascii="Arial" w:hAnsi="Arial" w:cs="Arial"/>
        </w:rPr>
      </w:pPr>
      <w:r>
        <w:rPr>
          <w:rFonts w:ascii="Arial" w:hAnsi="Arial" w:cs="Arial"/>
        </w:rPr>
        <w:t>Funding for Early Years relates to fre</w:t>
      </w:r>
      <w:r w:rsidR="00D3021E">
        <w:rPr>
          <w:rFonts w:ascii="Arial" w:hAnsi="Arial" w:cs="Arial"/>
        </w:rPr>
        <w:t>e</w:t>
      </w:r>
      <w:r>
        <w:rPr>
          <w:rFonts w:ascii="Arial" w:hAnsi="Arial" w:cs="Arial"/>
        </w:rPr>
        <w:t xml:space="preserve"> </w:t>
      </w:r>
      <w:proofErr w:type="gramStart"/>
      <w:r>
        <w:rPr>
          <w:rFonts w:ascii="Arial" w:hAnsi="Arial" w:cs="Arial"/>
        </w:rPr>
        <w:t>15 hour</w:t>
      </w:r>
      <w:proofErr w:type="gramEnd"/>
      <w:r>
        <w:rPr>
          <w:rFonts w:ascii="Arial" w:hAnsi="Arial" w:cs="Arial"/>
        </w:rPr>
        <w:t xml:space="preserve"> nursery entitlement for all 3 &amp; 4 year olds in maintained nurseries and nursery classes as well as private, voluntary and independent (PVI) provision. From September 2017 this was extended to </w:t>
      </w:r>
      <w:proofErr w:type="gramStart"/>
      <w:r>
        <w:rPr>
          <w:rFonts w:ascii="Arial" w:hAnsi="Arial" w:cs="Arial"/>
        </w:rPr>
        <w:t>30 hour</w:t>
      </w:r>
      <w:proofErr w:type="gramEnd"/>
      <w:r>
        <w:rPr>
          <w:rFonts w:ascii="Arial" w:hAnsi="Arial" w:cs="Arial"/>
        </w:rPr>
        <w:t xml:space="preserve"> nursery entitlement for eligible 3&amp;4 year olds. It also funds free </w:t>
      </w:r>
      <w:proofErr w:type="gramStart"/>
      <w:r>
        <w:rPr>
          <w:rFonts w:ascii="Arial" w:hAnsi="Arial" w:cs="Arial"/>
        </w:rPr>
        <w:t>15 hour</w:t>
      </w:r>
      <w:proofErr w:type="gramEnd"/>
      <w:r>
        <w:rPr>
          <w:rFonts w:ascii="Arial" w:hAnsi="Arial" w:cs="Arial"/>
        </w:rPr>
        <w:t xml:space="preserve"> nursery entitlement for disadvantaged 2 year olds.</w:t>
      </w:r>
    </w:p>
    <w:p w14:paraId="05349796" w14:textId="77777777" w:rsidR="00505AA5" w:rsidRDefault="00505AA5" w:rsidP="00505AA5">
      <w:pPr>
        <w:pStyle w:val="ListParagraph"/>
        <w:rPr>
          <w:rFonts w:ascii="Arial" w:hAnsi="Arial" w:cs="Arial"/>
        </w:rPr>
      </w:pPr>
    </w:p>
    <w:p w14:paraId="4DA805E5" w14:textId="77777777" w:rsidR="00505AA5" w:rsidRDefault="00505AA5" w:rsidP="00505AA5">
      <w:pPr>
        <w:pStyle w:val="ListParagraph"/>
        <w:numPr>
          <w:ilvl w:val="0"/>
          <w:numId w:val="1"/>
        </w:numPr>
        <w:rPr>
          <w:rFonts w:ascii="Arial" w:hAnsi="Arial" w:cs="Arial"/>
        </w:rPr>
      </w:pPr>
      <w:r>
        <w:rPr>
          <w:rFonts w:ascii="Arial" w:hAnsi="Arial" w:cs="Arial"/>
        </w:rPr>
        <w:t>A National Funding Formula for Early Years was introduced in 2017-18. Cabinet approved the structure of the Harrow formula for the distribution of funding to providers in January 2018.</w:t>
      </w:r>
    </w:p>
    <w:p w14:paraId="41F70911" w14:textId="77777777" w:rsidR="00505AA5" w:rsidRDefault="00505AA5" w:rsidP="00505AA5">
      <w:pPr>
        <w:pStyle w:val="ListParagraph"/>
        <w:rPr>
          <w:rFonts w:ascii="Arial" w:hAnsi="Arial" w:cs="Arial"/>
        </w:rPr>
      </w:pPr>
    </w:p>
    <w:p w14:paraId="3D23BA13" w14:textId="4E88124B" w:rsidR="00505AA5" w:rsidRPr="00505AA5" w:rsidRDefault="00505AA5" w:rsidP="00505AA5">
      <w:pPr>
        <w:pStyle w:val="ListParagraph"/>
        <w:numPr>
          <w:ilvl w:val="0"/>
          <w:numId w:val="1"/>
        </w:numPr>
        <w:rPr>
          <w:rFonts w:ascii="Arial" w:hAnsi="Arial" w:cs="Arial"/>
        </w:rPr>
      </w:pPr>
      <w:r>
        <w:rPr>
          <w:rFonts w:ascii="Arial" w:hAnsi="Arial" w:cs="Arial"/>
        </w:rPr>
        <w:t>Funding rates and allocations will be announced in December 20</w:t>
      </w:r>
      <w:r w:rsidR="00820229">
        <w:rPr>
          <w:rFonts w:ascii="Arial" w:hAnsi="Arial" w:cs="Arial"/>
        </w:rPr>
        <w:t>2</w:t>
      </w:r>
      <w:r w:rsidR="00FF0D65">
        <w:rPr>
          <w:rFonts w:ascii="Arial" w:hAnsi="Arial" w:cs="Arial"/>
        </w:rPr>
        <w:t>1</w:t>
      </w:r>
      <w:r>
        <w:rPr>
          <w:rFonts w:ascii="Arial" w:hAnsi="Arial" w:cs="Arial"/>
        </w:rPr>
        <w:t>.</w:t>
      </w:r>
      <w:bookmarkStart w:id="1" w:name="LastEdit"/>
      <w:bookmarkEnd w:id="1"/>
    </w:p>
    <w:sectPr w:rsidR="00505AA5" w:rsidRPr="00505A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127"/>
    <w:multiLevelType w:val="hybridMultilevel"/>
    <w:tmpl w:val="13F4D05E"/>
    <w:lvl w:ilvl="0" w:tplc="BCEE95EA">
      <w:start w:val="1"/>
      <w:numFmt w:val="decimal"/>
      <w:lvlText w:val="%1."/>
      <w:lvlJc w:val="left"/>
      <w:pPr>
        <w:ind w:left="720" w:hanging="360"/>
      </w:pPr>
      <w:rPr>
        <w:rFonts w:cs="Times New Roman"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AB6545"/>
    <w:multiLevelType w:val="hybridMultilevel"/>
    <w:tmpl w:val="AB4403D0"/>
    <w:lvl w:ilvl="0" w:tplc="9788BF8E">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9A499F"/>
    <w:multiLevelType w:val="hybridMultilevel"/>
    <w:tmpl w:val="02864F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E801CE"/>
    <w:multiLevelType w:val="hybridMultilevel"/>
    <w:tmpl w:val="A1780BD2"/>
    <w:lvl w:ilvl="0" w:tplc="C68689F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BB169C"/>
    <w:multiLevelType w:val="hybridMultilevel"/>
    <w:tmpl w:val="21B8D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8605F69"/>
    <w:multiLevelType w:val="hybridMultilevel"/>
    <w:tmpl w:val="02BC21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5/11/2019 15:04"/>
  </w:docVars>
  <w:rsids>
    <w:rsidRoot w:val="00661C52"/>
    <w:rsid w:val="000305F8"/>
    <w:rsid w:val="000603F7"/>
    <w:rsid w:val="000A6F3A"/>
    <w:rsid w:val="000E719E"/>
    <w:rsid w:val="00134576"/>
    <w:rsid w:val="001409AF"/>
    <w:rsid w:val="00146DC3"/>
    <w:rsid w:val="00152B4A"/>
    <w:rsid w:val="00201CAA"/>
    <w:rsid w:val="0021271F"/>
    <w:rsid w:val="00241593"/>
    <w:rsid w:val="0030090D"/>
    <w:rsid w:val="003C74B9"/>
    <w:rsid w:val="003D11B9"/>
    <w:rsid w:val="003D74FB"/>
    <w:rsid w:val="00407099"/>
    <w:rsid w:val="00424949"/>
    <w:rsid w:val="00505AA5"/>
    <w:rsid w:val="005851F0"/>
    <w:rsid w:val="00636838"/>
    <w:rsid w:val="00660AF0"/>
    <w:rsid w:val="00661C52"/>
    <w:rsid w:val="00667D81"/>
    <w:rsid w:val="006805A5"/>
    <w:rsid w:val="00713197"/>
    <w:rsid w:val="00746488"/>
    <w:rsid w:val="00785030"/>
    <w:rsid w:val="00792ED6"/>
    <w:rsid w:val="007A5E96"/>
    <w:rsid w:val="007B7BAC"/>
    <w:rsid w:val="007F040D"/>
    <w:rsid w:val="00814D2F"/>
    <w:rsid w:val="00820229"/>
    <w:rsid w:val="00844259"/>
    <w:rsid w:val="0089719B"/>
    <w:rsid w:val="00907911"/>
    <w:rsid w:val="00924B66"/>
    <w:rsid w:val="009502E1"/>
    <w:rsid w:val="009711C1"/>
    <w:rsid w:val="00B62882"/>
    <w:rsid w:val="00B77068"/>
    <w:rsid w:val="00CD6213"/>
    <w:rsid w:val="00D3021E"/>
    <w:rsid w:val="00D67F65"/>
    <w:rsid w:val="00DC3582"/>
    <w:rsid w:val="00E00FE2"/>
    <w:rsid w:val="00E23015"/>
    <w:rsid w:val="00F01F8E"/>
    <w:rsid w:val="00F22C50"/>
    <w:rsid w:val="00FB3D7B"/>
    <w:rsid w:val="00FF0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EB09"/>
  <w15:docId w15:val="{6A5A12B9-B9D6-4F71-A29D-A5CFE86E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661C52"/>
    <w:pPr>
      <w:ind w:left="720"/>
      <w:contextualSpacing/>
    </w:pPr>
  </w:style>
  <w:style w:type="character" w:styleId="CommentReference">
    <w:name w:val="annotation reference"/>
    <w:basedOn w:val="DefaultParagraphFont"/>
    <w:uiPriority w:val="99"/>
    <w:semiHidden/>
    <w:unhideWhenUsed/>
    <w:rsid w:val="006805A5"/>
    <w:rPr>
      <w:sz w:val="16"/>
      <w:szCs w:val="16"/>
    </w:rPr>
  </w:style>
  <w:style w:type="paragraph" w:styleId="CommentText">
    <w:name w:val="annotation text"/>
    <w:basedOn w:val="Normal"/>
    <w:link w:val="CommentTextChar"/>
    <w:uiPriority w:val="99"/>
    <w:semiHidden/>
    <w:unhideWhenUsed/>
    <w:rsid w:val="006805A5"/>
    <w:pPr>
      <w:spacing w:line="240" w:lineRule="auto"/>
    </w:pPr>
    <w:rPr>
      <w:sz w:val="20"/>
      <w:szCs w:val="20"/>
    </w:rPr>
  </w:style>
  <w:style w:type="character" w:customStyle="1" w:styleId="CommentTextChar">
    <w:name w:val="Comment Text Char"/>
    <w:basedOn w:val="DefaultParagraphFont"/>
    <w:link w:val="CommentText"/>
    <w:uiPriority w:val="99"/>
    <w:semiHidden/>
    <w:rsid w:val="006805A5"/>
    <w:rPr>
      <w:lang w:eastAsia="en-US"/>
    </w:rPr>
  </w:style>
  <w:style w:type="paragraph" w:styleId="CommentSubject">
    <w:name w:val="annotation subject"/>
    <w:basedOn w:val="CommentText"/>
    <w:next w:val="CommentText"/>
    <w:link w:val="CommentSubjectChar"/>
    <w:uiPriority w:val="99"/>
    <w:semiHidden/>
    <w:unhideWhenUsed/>
    <w:rsid w:val="006805A5"/>
    <w:rPr>
      <w:b/>
      <w:bCs/>
    </w:rPr>
  </w:style>
  <w:style w:type="character" w:customStyle="1" w:styleId="CommentSubjectChar">
    <w:name w:val="Comment Subject Char"/>
    <w:basedOn w:val="CommentTextChar"/>
    <w:link w:val="CommentSubject"/>
    <w:uiPriority w:val="99"/>
    <w:semiHidden/>
    <w:rsid w:val="006805A5"/>
    <w:rPr>
      <w:b/>
      <w:bCs/>
      <w:lang w:eastAsia="en-US"/>
    </w:rPr>
  </w:style>
  <w:style w:type="paragraph" w:styleId="BalloonText">
    <w:name w:val="Balloon Text"/>
    <w:basedOn w:val="Normal"/>
    <w:link w:val="BalloonTextChar"/>
    <w:uiPriority w:val="99"/>
    <w:semiHidden/>
    <w:unhideWhenUsed/>
    <w:rsid w:val="0068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5A5"/>
    <w:rPr>
      <w:rFonts w:ascii="Tahoma" w:hAnsi="Tahoma" w:cs="Tahoma"/>
      <w:sz w:val="16"/>
      <w:szCs w:val="16"/>
      <w:lang w:eastAsia="en-US"/>
    </w:rPr>
  </w:style>
  <w:style w:type="paragraph" w:customStyle="1" w:styleId="Default">
    <w:name w:val="Default"/>
    <w:rsid w:val="0063683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CD6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CD621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Frost</dc:creator>
  <cp:lastModifiedBy>Dawn Calvert</cp:lastModifiedBy>
  <cp:revision>3</cp:revision>
  <dcterms:created xsi:type="dcterms:W3CDTF">2021-11-30T11:36:00Z</dcterms:created>
  <dcterms:modified xsi:type="dcterms:W3CDTF">2021-12-01T09:16:00Z</dcterms:modified>
</cp:coreProperties>
</file>